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EB" w:rsidRPr="001D63DA" w:rsidRDefault="004557EB" w:rsidP="004557EB">
      <w:pPr>
        <w:snapToGrid w:val="0"/>
        <w:spacing w:line="312" w:lineRule="auto"/>
        <w:jc w:val="left"/>
        <w:rPr>
          <w:b/>
          <w:sz w:val="28"/>
          <w:szCs w:val="28"/>
        </w:rPr>
      </w:pPr>
      <w:r w:rsidRPr="001D63DA">
        <w:rPr>
          <w:rFonts w:hint="eastAsia"/>
          <w:b/>
          <w:sz w:val="28"/>
          <w:szCs w:val="28"/>
        </w:rPr>
        <w:t>附件</w:t>
      </w:r>
      <w:r>
        <w:rPr>
          <w:rFonts w:hint="eastAsia"/>
          <w:b/>
          <w:sz w:val="28"/>
          <w:szCs w:val="28"/>
        </w:rPr>
        <w:t>3</w:t>
      </w:r>
      <w:r w:rsidRPr="001D63DA">
        <w:rPr>
          <w:rFonts w:hint="eastAsia"/>
          <w:b/>
          <w:sz w:val="28"/>
          <w:szCs w:val="28"/>
        </w:rPr>
        <w:t>：</w:t>
      </w:r>
    </w:p>
    <w:p w:rsidR="004557EB" w:rsidRPr="000746D4" w:rsidRDefault="00433230" w:rsidP="004557EB">
      <w:pPr>
        <w:snapToGrid w:val="0"/>
        <w:spacing w:line="312" w:lineRule="auto"/>
        <w:jc w:val="center"/>
        <w:rPr>
          <w:rFonts w:eastAsia="宋体"/>
          <w:b/>
          <w:sz w:val="24"/>
          <w:szCs w:val="24"/>
        </w:rPr>
      </w:pPr>
      <w:r w:rsidRPr="00433230">
        <w:rPr>
          <w:rFonts w:eastAsia="宋体"/>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54.15pt;margin-top:-25.9pt;width:72.7pt;height:39.45pt;z-index:251660288;mso-width-relative:margin;mso-height-relative:margin">
            <v:textbox>
              <w:txbxContent>
                <w:p w:rsidR="004557EB" w:rsidRPr="000746D4" w:rsidRDefault="004557EB" w:rsidP="004557EB">
                  <w:pPr>
                    <w:snapToGrid w:val="0"/>
                    <w:rPr>
                      <w:b/>
                      <w:sz w:val="24"/>
                      <w:szCs w:val="24"/>
                    </w:rPr>
                  </w:pPr>
                  <w:r w:rsidRPr="000746D4">
                    <w:rPr>
                      <w:rFonts w:hint="eastAsia"/>
                      <w:b/>
                      <w:sz w:val="24"/>
                      <w:szCs w:val="24"/>
                    </w:rPr>
                    <w:t>内部资料</w:t>
                  </w:r>
                </w:p>
                <w:p w:rsidR="004557EB" w:rsidRPr="000746D4" w:rsidRDefault="004557EB" w:rsidP="004557EB">
                  <w:pPr>
                    <w:snapToGrid w:val="0"/>
                    <w:rPr>
                      <w:b/>
                      <w:sz w:val="24"/>
                      <w:szCs w:val="24"/>
                    </w:rPr>
                  </w:pPr>
                  <w:r w:rsidRPr="000746D4">
                    <w:rPr>
                      <w:rFonts w:hint="eastAsia"/>
                      <w:b/>
                      <w:sz w:val="24"/>
                      <w:szCs w:val="24"/>
                    </w:rPr>
                    <w:t>请勿外传</w:t>
                  </w:r>
                </w:p>
              </w:txbxContent>
            </v:textbox>
          </v:shape>
        </w:pict>
      </w:r>
      <w:r w:rsidR="004557EB" w:rsidRPr="000746D4">
        <w:rPr>
          <w:rFonts w:eastAsia="宋体" w:hint="eastAsia"/>
          <w:b/>
          <w:sz w:val="24"/>
          <w:szCs w:val="24"/>
        </w:rPr>
        <w:t>改善办学条件评审原则</w:t>
      </w:r>
    </w:p>
    <w:p w:rsidR="004557EB" w:rsidRPr="000746D4" w:rsidRDefault="004557EB" w:rsidP="004557EB">
      <w:pPr>
        <w:numPr>
          <w:ilvl w:val="0"/>
          <w:numId w:val="1"/>
        </w:numPr>
        <w:snapToGrid w:val="0"/>
        <w:spacing w:line="312" w:lineRule="auto"/>
        <w:rPr>
          <w:rFonts w:eastAsia="宋体"/>
          <w:sz w:val="24"/>
          <w:szCs w:val="24"/>
        </w:rPr>
      </w:pPr>
      <w:r w:rsidRPr="000746D4">
        <w:rPr>
          <w:rFonts w:eastAsia="宋体" w:hint="eastAsia"/>
          <w:sz w:val="24"/>
          <w:szCs w:val="24"/>
        </w:rPr>
        <w:t>基本原则</w:t>
      </w:r>
    </w:p>
    <w:p w:rsidR="004557EB" w:rsidRPr="000746D4" w:rsidRDefault="004557EB" w:rsidP="004557EB">
      <w:pPr>
        <w:snapToGrid w:val="0"/>
        <w:spacing w:line="312" w:lineRule="auto"/>
        <w:rPr>
          <w:rFonts w:eastAsia="宋体"/>
          <w:sz w:val="24"/>
          <w:szCs w:val="24"/>
        </w:rPr>
      </w:pPr>
      <w:r w:rsidRPr="000746D4">
        <w:rPr>
          <w:rFonts w:eastAsia="宋体" w:hint="eastAsia"/>
          <w:sz w:val="24"/>
          <w:szCs w:val="24"/>
        </w:rPr>
        <w:t xml:space="preserve">  </w:t>
      </w:r>
      <w:r w:rsidRPr="000746D4">
        <w:rPr>
          <w:rFonts w:eastAsia="宋体" w:hint="eastAsia"/>
          <w:sz w:val="24"/>
          <w:szCs w:val="24"/>
        </w:rPr>
        <w:t>中央级普通高等学校改善基本办学条件专项资金（以下简称专项资金）的支持范围包括：</w:t>
      </w:r>
    </w:p>
    <w:p w:rsidR="004557EB" w:rsidRPr="000746D4" w:rsidRDefault="004557EB" w:rsidP="004557EB">
      <w:pPr>
        <w:numPr>
          <w:ilvl w:val="0"/>
          <w:numId w:val="2"/>
        </w:numPr>
        <w:snapToGrid w:val="0"/>
        <w:spacing w:line="312" w:lineRule="auto"/>
        <w:rPr>
          <w:rFonts w:eastAsia="宋体"/>
          <w:sz w:val="24"/>
          <w:szCs w:val="24"/>
        </w:rPr>
      </w:pPr>
      <w:r w:rsidRPr="000746D4">
        <w:rPr>
          <w:rFonts w:eastAsia="宋体" w:hint="eastAsia"/>
          <w:sz w:val="24"/>
          <w:szCs w:val="24"/>
        </w:rPr>
        <w:t>对中央高校用于校内的开展教学、科研、社会服务、文化传承等工作的房屋建筑物进行必要的维修、加固和改造。</w:t>
      </w:r>
    </w:p>
    <w:p w:rsidR="004557EB" w:rsidRPr="000746D4" w:rsidRDefault="004557EB" w:rsidP="004557EB">
      <w:pPr>
        <w:numPr>
          <w:ilvl w:val="0"/>
          <w:numId w:val="2"/>
        </w:numPr>
        <w:snapToGrid w:val="0"/>
        <w:spacing w:line="312" w:lineRule="auto"/>
        <w:rPr>
          <w:rFonts w:eastAsia="宋体"/>
          <w:sz w:val="24"/>
          <w:szCs w:val="24"/>
        </w:rPr>
      </w:pPr>
      <w:r w:rsidRPr="000746D4">
        <w:rPr>
          <w:rFonts w:eastAsia="宋体" w:hint="eastAsia"/>
          <w:sz w:val="24"/>
          <w:szCs w:val="24"/>
        </w:rPr>
        <w:t>对中央高校用于校内的教学、实验、实习实践、校园公共服务体系建设所必需的仪器设备、文献资料（含电子图书及数据库使用）等的购置。</w:t>
      </w:r>
    </w:p>
    <w:p w:rsidR="004557EB" w:rsidRPr="000746D4" w:rsidRDefault="004557EB" w:rsidP="004557EB">
      <w:pPr>
        <w:numPr>
          <w:ilvl w:val="0"/>
          <w:numId w:val="2"/>
        </w:numPr>
        <w:snapToGrid w:val="0"/>
        <w:spacing w:line="312" w:lineRule="auto"/>
        <w:rPr>
          <w:rFonts w:eastAsia="宋体"/>
          <w:sz w:val="24"/>
          <w:szCs w:val="24"/>
        </w:rPr>
      </w:pPr>
      <w:r w:rsidRPr="000746D4">
        <w:rPr>
          <w:rFonts w:eastAsia="宋体" w:hint="eastAsia"/>
          <w:sz w:val="24"/>
          <w:szCs w:val="24"/>
        </w:rPr>
        <w:t>对校内的保障师生学习、工作、生活、安全等需要开展的水、电、气、暖、道路、网络、照明、节能、消防、安防等基础设施进行维修改造。</w:t>
      </w:r>
    </w:p>
    <w:p w:rsidR="004557EB" w:rsidRDefault="004557EB" w:rsidP="004557EB">
      <w:pPr>
        <w:snapToGrid w:val="0"/>
        <w:spacing w:line="312" w:lineRule="auto"/>
        <w:ind w:left="360"/>
        <w:rPr>
          <w:rFonts w:eastAsia="宋体"/>
          <w:sz w:val="24"/>
          <w:szCs w:val="24"/>
        </w:rPr>
      </w:pPr>
      <w:r w:rsidRPr="000746D4">
        <w:rPr>
          <w:rFonts w:eastAsia="宋体" w:hint="eastAsia"/>
          <w:sz w:val="24"/>
          <w:szCs w:val="24"/>
        </w:rPr>
        <w:t>专项资金不得用于：</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新建基本建设项目（已竣工的新建筑物装修、装饰、设备配套等除外）。</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产权不属于高校的、长期对外出租的或校办企业的房屋、基础设施等维修改造和仪器设备购置项目。</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高校家属楼、教师公寓、教师宿舍、周转房等的维修、加固和改造。</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购置公务用车。</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超标准、豪华建设项目。</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低水平、重复建设项目。</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支付合同尾款、偿还贷款。</w:t>
      </w:r>
    </w:p>
    <w:p w:rsidR="004557EB" w:rsidRPr="000746D4" w:rsidRDefault="004557EB" w:rsidP="004557EB">
      <w:pPr>
        <w:numPr>
          <w:ilvl w:val="0"/>
          <w:numId w:val="7"/>
        </w:numPr>
        <w:snapToGrid w:val="0"/>
        <w:spacing w:line="312" w:lineRule="auto"/>
        <w:rPr>
          <w:rFonts w:eastAsia="宋体"/>
          <w:sz w:val="24"/>
          <w:szCs w:val="24"/>
        </w:rPr>
      </w:pPr>
      <w:r w:rsidRPr="000746D4">
        <w:rPr>
          <w:rFonts w:eastAsia="宋体" w:hint="eastAsia"/>
          <w:sz w:val="24"/>
          <w:szCs w:val="24"/>
        </w:rPr>
        <w:t>物业费、设施设备的运行维护费等应由日常公用经费支出的项目。</w:t>
      </w:r>
    </w:p>
    <w:p w:rsidR="004557EB" w:rsidRPr="000746D4" w:rsidRDefault="004557EB" w:rsidP="004557EB">
      <w:pPr>
        <w:numPr>
          <w:ilvl w:val="0"/>
          <w:numId w:val="1"/>
        </w:numPr>
        <w:snapToGrid w:val="0"/>
        <w:spacing w:line="312" w:lineRule="auto"/>
        <w:rPr>
          <w:rFonts w:eastAsia="宋体"/>
          <w:sz w:val="24"/>
          <w:szCs w:val="24"/>
        </w:rPr>
      </w:pPr>
      <w:r w:rsidRPr="000746D4">
        <w:rPr>
          <w:rFonts w:eastAsia="宋体" w:hint="eastAsia"/>
          <w:sz w:val="24"/>
          <w:szCs w:val="24"/>
        </w:rPr>
        <w:t>分类原则</w:t>
      </w:r>
    </w:p>
    <w:p w:rsidR="004557EB" w:rsidRPr="000746D4" w:rsidRDefault="004557EB" w:rsidP="004557EB">
      <w:pPr>
        <w:snapToGrid w:val="0"/>
        <w:spacing w:line="312" w:lineRule="auto"/>
        <w:rPr>
          <w:rFonts w:eastAsia="宋体"/>
          <w:sz w:val="24"/>
          <w:szCs w:val="24"/>
        </w:rPr>
      </w:pPr>
      <w:r w:rsidRPr="000746D4">
        <w:rPr>
          <w:rFonts w:eastAsia="宋体" w:hint="eastAsia"/>
          <w:sz w:val="24"/>
          <w:szCs w:val="24"/>
        </w:rPr>
        <w:t xml:space="preserve">  </w:t>
      </w:r>
      <w:r w:rsidRPr="000746D4">
        <w:rPr>
          <w:rFonts w:eastAsia="宋体" w:hint="eastAsia"/>
          <w:sz w:val="24"/>
          <w:szCs w:val="24"/>
        </w:rPr>
        <w:t>专项资金应优先重点支持与师生学习、工作、生活直接相关的基础性、保障性项目。具体要求如下：</w:t>
      </w:r>
    </w:p>
    <w:p w:rsidR="004557EB" w:rsidRPr="000746D4" w:rsidRDefault="004557EB" w:rsidP="004557EB">
      <w:pPr>
        <w:numPr>
          <w:ilvl w:val="0"/>
          <w:numId w:val="3"/>
        </w:numPr>
        <w:snapToGrid w:val="0"/>
        <w:spacing w:line="312" w:lineRule="auto"/>
        <w:rPr>
          <w:rFonts w:eastAsia="宋体"/>
          <w:sz w:val="24"/>
          <w:szCs w:val="24"/>
        </w:rPr>
      </w:pPr>
      <w:r w:rsidRPr="000746D4">
        <w:rPr>
          <w:rFonts w:eastAsia="宋体" w:hint="eastAsia"/>
          <w:sz w:val="24"/>
          <w:szCs w:val="24"/>
        </w:rPr>
        <w:t>房屋修缮类项目</w:t>
      </w:r>
    </w:p>
    <w:p w:rsidR="004557EB" w:rsidRPr="000746D4" w:rsidRDefault="004557EB" w:rsidP="004557EB">
      <w:pPr>
        <w:numPr>
          <w:ilvl w:val="0"/>
          <w:numId w:val="4"/>
        </w:numPr>
        <w:snapToGrid w:val="0"/>
        <w:spacing w:line="312" w:lineRule="auto"/>
        <w:rPr>
          <w:rFonts w:eastAsia="宋体"/>
          <w:sz w:val="24"/>
          <w:szCs w:val="24"/>
        </w:rPr>
      </w:pPr>
      <w:r w:rsidRPr="000746D4">
        <w:rPr>
          <w:rFonts w:eastAsia="宋体" w:hint="eastAsia"/>
          <w:sz w:val="24"/>
          <w:szCs w:val="24"/>
        </w:rPr>
        <w:t>修缮对象</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房屋修缮对象包括：存在安全隐患的教室、学生宿舍、图书馆、食堂、体育馆、礼堂、学生艺术场馆等房屋，以及标志性建筑、文物保护建筑、古旧建筑。如房屋建成时间短但已存在安全隐患的，或是确有必要改变和完善房屋使用功能的应予以支持，但需在评审报告中详细说明相关情况。</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改扩建项目扩建面积超过原建筑面积</w:t>
      </w:r>
      <w:r w:rsidRPr="000746D4">
        <w:rPr>
          <w:rFonts w:eastAsia="宋体" w:hint="eastAsia"/>
          <w:sz w:val="24"/>
          <w:szCs w:val="24"/>
        </w:rPr>
        <w:t>30%</w:t>
      </w:r>
      <w:r w:rsidRPr="000746D4">
        <w:rPr>
          <w:rFonts w:eastAsia="宋体" w:hint="eastAsia"/>
          <w:sz w:val="24"/>
          <w:szCs w:val="24"/>
        </w:rPr>
        <w:t>的原则上不予支持。学生体检中心、校内小型超市、理发店、餐馆等长期对外出租的经营性房屋的修缮不予支持。</w:t>
      </w:r>
    </w:p>
    <w:p w:rsidR="004557EB" w:rsidRPr="000746D4" w:rsidRDefault="004557EB" w:rsidP="004557EB">
      <w:pPr>
        <w:numPr>
          <w:ilvl w:val="0"/>
          <w:numId w:val="4"/>
        </w:numPr>
        <w:snapToGrid w:val="0"/>
        <w:spacing w:line="312" w:lineRule="auto"/>
        <w:rPr>
          <w:rFonts w:eastAsia="宋体"/>
          <w:sz w:val="24"/>
          <w:szCs w:val="24"/>
        </w:rPr>
      </w:pPr>
      <w:r w:rsidRPr="000746D4">
        <w:rPr>
          <w:rFonts w:eastAsia="宋体" w:hint="eastAsia"/>
          <w:sz w:val="24"/>
          <w:szCs w:val="24"/>
        </w:rPr>
        <w:lastRenderedPageBreak/>
        <w:t>修缮内容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房屋修缮的具体内容包括：屋面修缮、室内外装修、节能改造、电气设施修缮、给排水修缮、暖通修缮、以及旧电梯更新、旧建筑物加装外挂电梯等。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未到报废年限且可通过维修继续使用的电梯不予更新。为避免项目碎片化，单独申报建筑物墙面清洁、粉刷等明显属于日常维护性内容的项目原则上不予支持，但整体性修缮项目所包含的墙面清洁、粉刷等可予以支持。</w:t>
      </w:r>
    </w:p>
    <w:p w:rsidR="004557EB" w:rsidRPr="000746D4" w:rsidRDefault="004557EB" w:rsidP="004557EB">
      <w:pPr>
        <w:numPr>
          <w:ilvl w:val="0"/>
          <w:numId w:val="4"/>
        </w:numPr>
        <w:snapToGrid w:val="0"/>
        <w:spacing w:line="312" w:lineRule="auto"/>
        <w:rPr>
          <w:rFonts w:eastAsia="宋体"/>
          <w:sz w:val="24"/>
          <w:szCs w:val="24"/>
        </w:rPr>
      </w:pPr>
      <w:r w:rsidRPr="000746D4">
        <w:rPr>
          <w:rFonts w:eastAsia="宋体" w:hint="eastAsia"/>
          <w:sz w:val="24"/>
          <w:szCs w:val="24"/>
        </w:rPr>
        <w:t>修缮标准</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高校房屋修缮应当遵循安全可靠、美观实用、经济合理、勤俭节约的原则，鼓励节能环保技术、产品、材料、工艺的应用和房屋旧料的重新利用。修缮标准应按照当地工程预算定额及市场价格信息确定，全面、整体性的修缮改造，单方造价原则上不高于</w:t>
      </w:r>
      <w:r w:rsidRPr="000746D4">
        <w:rPr>
          <w:rFonts w:eastAsia="宋体" w:hint="eastAsia"/>
          <w:sz w:val="24"/>
          <w:szCs w:val="24"/>
        </w:rPr>
        <w:t>2000</w:t>
      </w:r>
      <w:r w:rsidRPr="000746D4">
        <w:rPr>
          <w:rFonts w:eastAsia="宋体" w:hint="eastAsia"/>
          <w:sz w:val="24"/>
          <w:szCs w:val="24"/>
        </w:rPr>
        <w:t>元</w:t>
      </w:r>
      <w:r w:rsidRPr="000746D4">
        <w:rPr>
          <w:rFonts w:eastAsia="宋体" w:hint="eastAsia"/>
          <w:sz w:val="24"/>
          <w:szCs w:val="24"/>
        </w:rPr>
        <w:t>/</w:t>
      </w:r>
      <w:r w:rsidRPr="000746D4">
        <w:rPr>
          <w:rFonts w:eastAsia="宋体" w:hint="eastAsia"/>
          <w:sz w:val="24"/>
          <w:szCs w:val="24"/>
        </w:rPr>
        <w:t>平方米。文物保护建筑和古旧建筑修缮项目应依据当地古建修缮定额确定修缮标准。</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对于修缮标准过高，超出正常合理范围的项目，在评审中，应以保障房屋安全、延长房屋使用年限、满足使用功能为原则核定项目预算。</w:t>
      </w:r>
    </w:p>
    <w:p w:rsidR="004557EB" w:rsidRPr="000746D4" w:rsidRDefault="004557EB" w:rsidP="004557EB">
      <w:pPr>
        <w:numPr>
          <w:ilvl w:val="0"/>
          <w:numId w:val="4"/>
        </w:numPr>
        <w:snapToGrid w:val="0"/>
        <w:spacing w:line="312" w:lineRule="auto"/>
        <w:rPr>
          <w:rFonts w:eastAsia="宋体"/>
          <w:sz w:val="24"/>
          <w:szCs w:val="24"/>
        </w:rPr>
      </w:pPr>
      <w:r w:rsidRPr="000746D4">
        <w:rPr>
          <w:rFonts w:eastAsia="宋体" w:hint="eastAsia"/>
          <w:sz w:val="24"/>
          <w:szCs w:val="24"/>
        </w:rPr>
        <w:t>预算开支范围</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修缮项目预算可以列支原材料费、辅助材料费、水电动力费、机械费、人工费、设备购置费、设计费、监理费和其他费用（包括招标代理服务费、造价咨询费）。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专家应根据项目实际修缮内容判断是否需要重新设计。确需重新设计的，方可列支设计费、监理费，且应按照行业主管部门有关规定确定取费比例。设计费应按照国家发改委、建设部颁布的《工程勘察设计收费管理规定》（计价格｛</w:t>
      </w:r>
      <w:r w:rsidRPr="000746D4">
        <w:rPr>
          <w:rFonts w:eastAsia="宋体" w:hint="eastAsia"/>
          <w:sz w:val="24"/>
          <w:szCs w:val="24"/>
        </w:rPr>
        <w:t>2002</w:t>
      </w:r>
      <w:r w:rsidRPr="000746D4">
        <w:rPr>
          <w:rFonts w:eastAsia="宋体" w:hint="eastAsia"/>
          <w:sz w:val="24"/>
          <w:szCs w:val="24"/>
        </w:rPr>
        <w:t>｝</w:t>
      </w:r>
      <w:r w:rsidRPr="000746D4">
        <w:rPr>
          <w:rFonts w:eastAsia="宋体" w:hint="eastAsia"/>
          <w:sz w:val="24"/>
          <w:szCs w:val="24"/>
        </w:rPr>
        <w:t>10</w:t>
      </w:r>
      <w:r w:rsidRPr="000746D4">
        <w:rPr>
          <w:rFonts w:eastAsia="宋体" w:hint="eastAsia"/>
          <w:sz w:val="24"/>
          <w:szCs w:val="24"/>
        </w:rPr>
        <w:t>号）确定取费比例。监理费应按照国家发改委、建设部颁布的《建设工程监理与相关服务收费管理规定》（发改价格｛</w:t>
      </w:r>
      <w:r w:rsidRPr="000746D4">
        <w:rPr>
          <w:rFonts w:eastAsia="宋体" w:hint="eastAsia"/>
          <w:sz w:val="24"/>
          <w:szCs w:val="24"/>
        </w:rPr>
        <w:t>2007</w:t>
      </w:r>
      <w:r w:rsidRPr="000746D4">
        <w:rPr>
          <w:rFonts w:eastAsia="宋体" w:hint="eastAsia"/>
          <w:sz w:val="24"/>
          <w:szCs w:val="24"/>
        </w:rPr>
        <w:t>｝</w:t>
      </w:r>
      <w:r w:rsidRPr="000746D4">
        <w:rPr>
          <w:rFonts w:eastAsia="宋体" w:hint="eastAsia"/>
          <w:sz w:val="24"/>
          <w:szCs w:val="24"/>
        </w:rPr>
        <w:t>670</w:t>
      </w:r>
      <w:r w:rsidRPr="000746D4">
        <w:rPr>
          <w:rFonts w:eastAsia="宋体" w:hint="eastAsia"/>
          <w:sz w:val="24"/>
          <w:szCs w:val="24"/>
        </w:rPr>
        <w:t>号）确定取费比例。</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按照国家招标、采购相关法律法规应进行招标的项目，产生的招标代理服务费按照国家发改委颁布的《招标代理服务收费管理暂行办法》（计价格｛</w:t>
      </w:r>
      <w:r w:rsidRPr="000746D4">
        <w:rPr>
          <w:rFonts w:eastAsia="宋体" w:hint="eastAsia"/>
          <w:sz w:val="24"/>
          <w:szCs w:val="24"/>
        </w:rPr>
        <w:t>2002</w:t>
      </w:r>
      <w:r w:rsidRPr="000746D4">
        <w:rPr>
          <w:rFonts w:eastAsia="宋体" w:hint="eastAsia"/>
          <w:sz w:val="24"/>
          <w:szCs w:val="24"/>
        </w:rPr>
        <w:t>｝</w:t>
      </w:r>
      <w:r w:rsidRPr="000746D4">
        <w:rPr>
          <w:rFonts w:eastAsia="宋体" w:hint="eastAsia"/>
          <w:sz w:val="24"/>
          <w:szCs w:val="24"/>
        </w:rPr>
        <w:t>1980</w:t>
      </w:r>
      <w:r w:rsidRPr="000746D4">
        <w:rPr>
          <w:rFonts w:eastAsia="宋体" w:hint="eastAsia"/>
          <w:sz w:val="24"/>
          <w:szCs w:val="24"/>
        </w:rPr>
        <w:t>号）确定取费标准。涉及造价咨询费的，按照当地取费标准确定取费比例。</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项目前期调研、检测、咨询等费用不予支持。</w:t>
      </w:r>
    </w:p>
    <w:p w:rsidR="004557EB" w:rsidRPr="000746D4" w:rsidRDefault="004557EB" w:rsidP="004557EB">
      <w:pPr>
        <w:numPr>
          <w:ilvl w:val="0"/>
          <w:numId w:val="3"/>
        </w:numPr>
        <w:snapToGrid w:val="0"/>
        <w:spacing w:line="312" w:lineRule="auto"/>
        <w:rPr>
          <w:rFonts w:eastAsia="宋体"/>
          <w:sz w:val="24"/>
          <w:szCs w:val="24"/>
        </w:rPr>
      </w:pPr>
      <w:r w:rsidRPr="000746D4">
        <w:rPr>
          <w:rFonts w:eastAsia="宋体" w:hint="eastAsia"/>
          <w:sz w:val="24"/>
          <w:szCs w:val="24"/>
        </w:rPr>
        <w:t>设备购置类项目</w:t>
      </w:r>
    </w:p>
    <w:p w:rsidR="004557EB" w:rsidRPr="000746D4" w:rsidRDefault="004557EB" w:rsidP="004557EB">
      <w:pPr>
        <w:numPr>
          <w:ilvl w:val="0"/>
          <w:numId w:val="5"/>
        </w:numPr>
        <w:snapToGrid w:val="0"/>
        <w:spacing w:line="312" w:lineRule="auto"/>
        <w:rPr>
          <w:rFonts w:eastAsia="宋体"/>
          <w:sz w:val="24"/>
          <w:szCs w:val="24"/>
        </w:rPr>
      </w:pPr>
      <w:r w:rsidRPr="000746D4">
        <w:rPr>
          <w:rFonts w:eastAsia="宋体" w:hint="eastAsia"/>
          <w:sz w:val="24"/>
          <w:szCs w:val="24"/>
        </w:rPr>
        <w:t>购置对象</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lastRenderedPageBreak/>
        <w:t>设备购置对象包括：用于教学、实验、实习实践和科研服务的仪器，图书、文献资料，校园信息化建设相关设备，校园艺术演出场地相关设备，以及各类学生宿舍家具和空调。</w:t>
      </w:r>
    </w:p>
    <w:p w:rsidR="004557EB" w:rsidRPr="000746D4" w:rsidRDefault="004557EB" w:rsidP="004557EB">
      <w:pPr>
        <w:numPr>
          <w:ilvl w:val="0"/>
          <w:numId w:val="5"/>
        </w:numPr>
        <w:snapToGrid w:val="0"/>
        <w:spacing w:line="312" w:lineRule="auto"/>
        <w:rPr>
          <w:rFonts w:eastAsia="宋体"/>
          <w:sz w:val="24"/>
          <w:szCs w:val="24"/>
        </w:rPr>
      </w:pPr>
      <w:r w:rsidRPr="000746D4">
        <w:rPr>
          <w:rFonts w:eastAsia="宋体" w:hint="eastAsia"/>
          <w:sz w:val="24"/>
          <w:szCs w:val="24"/>
        </w:rPr>
        <w:t>购置内容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设备购置内容包括：多媒体教室、语音教室等教学设备，各学科实验、科研用仪器设备，学生实习、实训场所设备；用于校园信息化建设的网络、通信、存储设备与相关软件；纸质及电子图书、期刊等文献资料，音像资料，以及数据库资源的购置；礼堂、学生艺术场馆的音响系统、视频系统；校医院常规医疗设备（如</w:t>
      </w:r>
      <w:r w:rsidRPr="000746D4">
        <w:rPr>
          <w:rFonts w:eastAsia="宋体" w:hint="eastAsia"/>
          <w:sz w:val="24"/>
          <w:szCs w:val="24"/>
        </w:rPr>
        <w:t>X</w:t>
      </w:r>
      <w:r w:rsidRPr="000746D4">
        <w:rPr>
          <w:rFonts w:eastAsia="宋体" w:hint="eastAsia"/>
          <w:sz w:val="24"/>
          <w:szCs w:val="24"/>
        </w:rPr>
        <w:t>光机、</w:t>
      </w:r>
      <w:r w:rsidRPr="000746D4">
        <w:rPr>
          <w:rFonts w:eastAsia="宋体" w:hint="eastAsia"/>
          <w:sz w:val="24"/>
          <w:szCs w:val="24"/>
        </w:rPr>
        <w:t>CT</w:t>
      </w:r>
      <w:r w:rsidRPr="000746D4">
        <w:rPr>
          <w:rFonts w:eastAsia="宋体" w:hint="eastAsia"/>
          <w:sz w:val="24"/>
          <w:szCs w:val="24"/>
        </w:rPr>
        <w:t>机等常用检查设备）；学生宿舍家具、图书馆家具、教室固定桌椅购置；教室、图书馆、食堂、体育场馆、礼堂等公共场所的空调购置。对于设有医学学科的高校，支持其附属医院购置用于学生临床实习、实践的设备；对于设有艺术类学科的高校，支持其购置乐器、音响设备、摄影摄像设备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对于办公家具购置从严把握。定制或委托第三方开发设计软件的项目从严把握。成套购置</w:t>
      </w:r>
      <w:r w:rsidRPr="000746D4">
        <w:rPr>
          <w:rFonts w:eastAsia="宋体" w:hint="eastAsia"/>
          <w:sz w:val="24"/>
          <w:szCs w:val="24"/>
        </w:rPr>
        <w:t>windows</w:t>
      </w:r>
      <w:r w:rsidRPr="000746D4">
        <w:rPr>
          <w:rFonts w:eastAsia="宋体"/>
          <w:sz w:val="24"/>
          <w:szCs w:val="24"/>
        </w:rPr>
        <w:t>、</w:t>
      </w:r>
      <w:r w:rsidRPr="000746D4">
        <w:rPr>
          <w:rFonts w:eastAsia="宋体"/>
          <w:sz w:val="24"/>
          <w:szCs w:val="24"/>
        </w:rPr>
        <w:t>office</w:t>
      </w:r>
      <w:r w:rsidRPr="000746D4">
        <w:rPr>
          <w:rFonts w:eastAsia="宋体" w:hint="eastAsia"/>
          <w:sz w:val="24"/>
          <w:szCs w:val="24"/>
        </w:rPr>
        <w:t>等办公软件的不予支持。</w:t>
      </w:r>
      <w:r w:rsidRPr="000746D4">
        <w:rPr>
          <w:rFonts w:eastAsia="宋体" w:hint="eastAsia"/>
          <w:sz w:val="24"/>
          <w:szCs w:val="24"/>
        </w:rPr>
        <w:t>U</w:t>
      </w:r>
      <w:r w:rsidRPr="000746D4">
        <w:rPr>
          <w:rFonts w:eastAsia="宋体" w:hint="eastAsia"/>
          <w:sz w:val="24"/>
          <w:szCs w:val="24"/>
        </w:rPr>
        <w:t>盘、移动硬盘、存储卡等低值存储设备不予支持。经营权不属于学校的体检中心的设备购置不予支持。打印机、复印机、扫描仪、相机等日常办公设备，硒鼓、墨盒、纸张等办公耗材，试管、量杯、烧瓶等低值、损耗性强的实验室器材，不予支持。</w:t>
      </w:r>
    </w:p>
    <w:p w:rsidR="004557EB" w:rsidRPr="000746D4" w:rsidRDefault="004557EB" w:rsidP="004557EB">
      <w:pPr>
        <w:numPr>
          <w:ilvl w:val="0"/>
          <w:numId w:val="5"/>
        </w:numPr>
        <w:snapToGrid w:val="0"/>
        <w:spacing w:line="312" w:lineRule="auto"/>
        <w:rPr>
          <w:rFonts w:eastAsia="宋体"/>
          <w:sz w:val="24"/>
          <w:szCs w:val="24"/>
        </w:rPr>
      </w:pPr>
      <w:r w:rsidRPr="000746D4">
        <w:rPr>
          <w:rFonts w:eastAsia="宋体" w:hint="eastAsia"/>
          <w:sz w:val="24"/>
          <w:szCs w:val="24"/>
        </w:rPr>
        <w:t>设备购置标准</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设备购置应以满足教学、实验和科研基本需求为标准，鼓励购置国产设备，严格控制购置高精尖设备和进口设备。</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对于单台套</w:t>
      </w:r>
      <w:r w:rsidRPr="000746D4">
        <w:rPr>
          <w:rFonts w:eastAsia="宋体" w:hint="eastAsia"/>
          <w:sz w:val="24"/>
          <w:szCs w:val="24"/>
        </w:rPr>
        <w:t>100</w:t>
      </w:r>
      <w:r w:rsidRPr="000746D4">
        <w:rPr>
          <w:rFonts w:eastAsia="宋体" w:hint="eastAsia"/>
          <w:sz w:val="24"/>
          <w:szCs w:val="24"/>
        </w:rPr>
        <w:t>万元以上的仪器设备，应参照财政部发布的《中央级新购大型科学仪器设备联合评议工作管理办法（试行）》（财教｛</w:t>
      </w:r>
      <w:r w:rsidRPr="000746D4">
        <w:rPr>
          <w:rFonts w:eastAsia="宋体" w:hint="eastAsia"/>
          <w:sz w:val="24"/>
          <w:szCs w:val="24"/>
        </w:rPr>
        <w:t>2004</w:t>
      </w:r>
      <w:r w:rsidRPr="000746D4">
        <w:rPr>
          <w:rFonts w:eastAsia="宋体" w:hint="eastAsia"/>
          <w:sz w:val="24"/>
          <w:szCs w:val="24"/>
        </w:rPr>
        <w:t>｝</w:t>
      </w:r>
      <w:r w:rsidRPr="000746D4">
        <w:rPr>
          <w:rFonts w:eastAsia="宋体" w:hint="eastAsia"/>
          <w:sz w:val="24"/>
          <w:szCs w:val="24"/>
        </w:rPr>
        <w:t>33</w:t>
      </w:r>
      <w:r w:rsidRPr="000746D4">
        <w:rPr>
          <w:rFonts w:eastAsia="宋体" w:hint="eastAsia"/>
          <w:sz w:val="24"/>
          <w:szCs w:val="24"/>
        </w:rPr>
        <w:t>号）（详见附件</w:t>
      </w:r>
      <w:r w:rsidRPr="000746D4">
        <w:rPr>
          <w:rFonts w:eastAsia="宋体" w:hint="eastAsia"/>
          <w:sz w:val="24"/>
          <w:szCs w:val="24"/>
        </w:rPr>
        <w:t>1</w:t>
      </w:r>
      <w:r w:rsidRPr="000746D4">
        <w:rPr>
          <w:rFonts w:eastAsia="宋体" w:hint="eastAsia"/>
          <w:sz w:val="24"/>
          <w:szCs w:val="24"/>
        </w:rPr>
        <w:t>）中的评议内容和相关管理要求，对其购置必要性、合理性等方面进行综合评议，购置理由充分的方可予以支持。具体评议要求和方法详见本手册第三部分——“评审工作程序及要求”。</w:t>
      </w:r>
    </w:p>
    <w:p w:rsidR="004557EB" w:rsidRPr="000746D4" w:rsidRDefault="004557EB" w:rsidP="004557EB">
      <w:pPr>
        <w:numPr>
          <w:ilvl w:val="0"/>
          <w:numId w:val="3"/>
        </w:numPr>
        <w:snapToGrid w:val="0"/>
        <w:spacing w:line="312" w:lineRule="auto"/>
        <w:rPr>
          <w:rFonts w:eastAsia="宋体"/>
          <w:sz w:val="24"/>
          <w:szCs w:val="24"/>
        </w:rPr>
      </w:pPr>
      <w:r w:rsidRPr="000746D4">
        <w:rPr>
          <w:rFonts w:eastAsia="宋体" w:hint="eastAsia"/>
          <w:sz w:val="24"/>
          <w:szCs w:val="24"/>
        </w:rPr>
        <w:t>基础设施维修改造类项目</w:t>
      </w:r>
    </w:p>
    <w:p w:rsidR="004557EB" w:rsidRPr="000746D4" w:rsidRDefault="004557EB" w:rsidP="004557EB">
      <w:pPr>
        <w:numPr>
          <w:ilvl w:val="0"/>
          <w:numId w:val="6"/>
        </w:numPr>
        <w:snapToGrid w:val="0"/>
        <w:spacing w:line="312" w:lineRule="auto"/>
        <w:rPr>
          <w:rFonts w:eastAsia="宋体"/>
          <w:sz w:val="24"/>
          <w:szCs w:val="24"/>
        </w:rPr>
      </w:pPr>
      <w:r w:rsidRPr="000746D4">
        <w:rPr>
          <w:rFonts w:eastAsia="宋体" w:hint="eastAsia"/>
          <w:sz w:val="24"/>
          <w:szCs w:val="24"/>
        </w:rPr>
        <w:t>维修改造对象</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基础设施维修改造对象主要是高校老校区水、暖、电、气等各类基础设施的升级改造和新校区基础设施配套。对于新校区周边市政基础设施配套不完善，需高校自行建设配套设施的项目，应适当予以支持。</w:t>
      </w:r>
    </w:p>
    <w:p w:rsidR="004557EB" w:rsidRPr="000746D4" w:rsidRDefault="004557EB" w:rsidP="004557EB">
      <w:pPr>
        <w:numPr>
          <w:ilvl w:val="0"/>
          <w:numId w:val="6"/>
        </w:numPr>
        <w:snapToGrid w:val="0"/>
        <w:spacing w:line="312" w:lineRule="auto"/>
        <w:rPr>
          <w:rFonts w:eastAsia="宋体"/>
          <w:sz w:val="24"/>
          <w:szCs w:val="24"/>
        </w:rPr>
      </w:pPr>
      <w:r w:rsidRPr="000746D4">
        <w:rPr>
          <w:rFonts w:eastAsia="宋体" w:hint="eastAsia"/>
          <w:sz w:val="24"/>
          <w:szCs w:val="24"/>
        </w:rPr>
        <w:t>维修改造内容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lastRenderedPageBreak/>
        <w:t>主要包括供电、供水、供热、排污，道路、绿化、安防、消防以及食堂、体育场馆改造等方面。具体内容如下：</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供电：电力增容所涉及的配电室、变电所的改造或新建，相关设备和电缆的购置，电缆敷设等。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供水：水泵房改造，供水管网改造。</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供热：供热管网改造，新建、扩建或改造锅炉房及相关设备配备，煤气改造工程等。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排污：污水处理设施改造，雨水、污水等排污管网改造，废水再利用设施改造等。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道路改造：校园内通车路及人行路的改造，</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绿化改造：草皮及树种更新，加设喷淋系统，假山石点缀等。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安防、消防：安防类项目包括出入口控制系统、防盗报警系统、闭路电视监控系统等建设内容及相关设备的购置；消防类项目包括防排烟系统、自动喷水灭火系统、消防广播系统、联动控制系统等建设内容以及相关设备的购置。</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食堂改造：食堂设施改造及食堂设备购置。食堂设备主要包括食堂机械工具类、节能灶具类、各类操作柜等食品加工制作设备，冰柜、冷库等食品存储设备，消毒柜、洗碗机等清洁消毒设备，排烟通风设备等。</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体育场馆改造：标准跑道改造，足球、篮球、排球、网球等场地、游泳池、看台等体育场设施改造，以及体育馆改造。支持购置篮球架、排球柱、网球柱等固定式体育器材。</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礼堂、学生艺术场馆改造：电路改造、舞台结构改造、灯光系统改造、舞台幕布及相应的机械和控制系统改造。</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地下车库改造、地面停车场修建项目从严把握。食堂改造类项目中的就餐桌椅和各类餐具购置不予支持。体育场馆建设中的足球、篮球、排球等损耗性强的体育用品购置不予支持。</w:t>
      </w:r>
    </w:p>
    <w:p w:rsidR="004557EB" w:rsidRPr="000746D4" w:rsidRDefault="004557EB" w:rsidP="004557EB">
      <w:pPr>
        <w:numPr>
          <w:ilvl w:val="0"/>
          <w:numId w:val="6"/>
        </w:numPr>
        <w:snapToGrid w:val="0"/>
        <w:spacing w:line="312" w:lineRule="auto"/>
        <w:rPr>
          <w:rFonts w:eastAsia="宋体"/>
          <w:sz w:val="24"/>
          <w:szCs w:val="24"/>
        </w:rPr>
      </w:pPr>
      <w:r w:rsidRPr="000746D4">
        <w:rPr>
          <w:rFonts w:eastAsia="宋体" w:hint="eastAsia"/>
          <w:sz w:val="24"/>
          <w:szCs w:val="24"/>
        </w:rPr>
        <w:t>维修改造标准</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高校基础设施维修改造应当遵循安全可靠、经济实用、为未来发展适当留有余地的原则，鼓励节能环保技术、产品、材料、工艺的应用。</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对于维修改造内容超出合理标准的项目，在评审中应适当予以核减。如卫生间改造项目中，洁具配备的标准过高等。</w:t>
      </w:r>
    </w:p>
    <w:p w:rsidR="004557EB" w:rsidRPr="000746D4" w:rsidRDefault="004557EB" w:rsidP="004557EB">
      <w:pPr>
        <w:numPr>
          <w:ilvl w:val="0"/>
          <w:numId w:val="6"/>
        </w:numPr>
        <w:snapToGrid w:val="0"/>
        <w:spacing w:line="312" w:lineRule="auto"/>
        <w:rPr>
          <w:rFonts w:eastAsia="宋体"/>
          <w:sz w:val="24"/>
          <w:szCs w:val="24"/>
        </w:rPr>
      </w:pPr>
      <w:r w:rsidRPr="000746D4">
        <w:rPr>
          <w:rFonts w:eastAsia="宋体" w:hint="eastAsia"/>
          <w:sz w:val="24"/>
          <w:szCs w:val="24"/>
        </w:rPr>
        <w:t>预算开支范围</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基础设施维修改造项目预算可以列支原材料费、辅助材料费、机械费、人工费、设备购置费、监理费、设计费和其他费用（包括招标代理服务费、造价咨询费）。</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专家应根据项目实际维修改造内容判断是否需要重新设计。确需重新设计的，方可列支设计费、监理费。设计费、监理费、招标代理服务费取费比例（标准）的确定方法与房屋修缮类项目相同。涉及造价咨询费的，应按照当地取费标准确定取费比例。</w:t>
      </w:r>
    </w:p>
    <w:p w:rsidR="004557EB" w:rsidRPr="000746D4" w:rsidRDefault="004557EB" w:rsidP="004557EB">
      <w:pPr>
        <w:snapToGrid w:val="0"/>
        <w:spacing w:line="312" w:lineRule="auto"/>
        <w:ind w:left="1080"/>
        <w:rPr>
          <w:rFonts w:eastAsia="宋体"/>
          <w:sz w:val="24"/>
          <w:szCs w:val="24"/>
        </w:rPr>
      </w:pPr>
      <w:r w:rsidRPr="000746D4">
        <w:rPr>
          <w:rFonts w:eastAsia="宋体" w:hint="eastAsia"/>
          <w:sz w:val="24"/>
          <w:szCs w:val="24"/>
        </w:rPr>
        <w:t>项目前期调研费用、咨询费用和检测费（如消防检测费）不予支持。</w:t>
      </w:r>
    </w:p>
    <w:p w:rsidR="009837F3" w:rsidRDefault="009837F3" w:rsidP="004557EB"/>
    <w:sectPr w:rsidR="009837F3" w:rsidSect="009837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57" w:rsidRDefault="002E6457" w:rsidP="002E6457">
      <w:r>
        <w:separator/>
      </w:r>
    </w:p>
  </w:endnote>
  <w:endnote w:type="continuationSeparator" w:id="0">
    <w:p w:rsidR="002E6457" w:rsidRDefault="002E6457" w:rsidP="002E6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57" w:rsidRDefault="002E6457" w:rsidP="002E6457">
      <w:r>
        <w:separator/>
      </w:r>
    </w:p>
  </w:footnote>
  <w:footnote w:type="continuationSeparator" w:id="0">
    <w:p w:rsidR="002E6457" w:rsidRDefault="002E6457" w:rsidP="002E6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8127F"/>
    <w:multiLevelType w:val="hybridMultilevel"/>
    <w:tmpl w:val="6C72C6D0"/>
    <w:lvl w:ilvl="0" w:tplc="E5265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603CF6"/>
    <w:multiLevelType w:val="hybridMultilevel"/>
    <w:tmpl w:val="B62074DE"/>
    <w:lvl w:ilvl="0" w:tplc="70F84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E9264C"/>
    <w:multiLevelType w:val="hybridMultilevel"/>
    <w:tmpl w:val="F0F0BF3A"/>
    <w:lvl w:ilvl="0" w:tplc="086EBD7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D756F03"/>
    <w:multiLevelType w:val="hybridMultilevel"/>
    <w:tmpl w:val="1988E948"/>
    <w:lvl w:ilvl="0" w:tplc="7B7E05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DD41B3"/>
    <w:multiLevelType w:val="hybridMultilevel"/>
    <w:tmpl w:val="8B3C09A6"/>
    <w:lvl w:ilvl="0" w:tplc="B33456D2">
      <w:start w:val="1"/>
      <w:numFmt w:val="decimal"/>
      <w:lvlText w:val="（%1）"/>
      <w:lvlJc w:val="left"/>
      <w:pPr>
        <w:ind w:left="652" w:hanging="420"/>
      </w:pPr>
      <w:rPr>
        <w:rFonts w:hint="default"/>
      </w:rPr>
    </w:lvl>
    <w:lvl w:ilvl="1" w:tplc="04090019" w:tentative="1">
      <w:start w:val="1"/>
      <w:numFmt w:val="lowerLetter"/>
      <w:lvlText w:val="%2)"/>
      <w:lvlJc w:val="left"/>
      <w:pPr>
        <w:ind w:left="1072" w:hanging="420"/>
      </w:pPr>
    </w:lvl>
    <w:lvl w:ilvl="2" w:tplc="0409001B" w:tentative="1">
      <w:start w:val="1"/>
      <w:numFmt w:val="lowerRoman"/>
      <w:lvlText w:val="%3."/>
      <w:lvlJc w:val="right"/>
      <w:pPr>
        <w:ind w:left="1492" w:hanging="420"/>
      </w:pPr>
    </w:lvl>
    <w:lvl w:ilvl="3" w:tplc="0409000F" w:tentative="1">
      <w:start w:val="1"/>
      <w:numFmt w:val="decimal"/>
      <w:lvlText w:val="%4."/>
      <w:lvlJc w:val="left"/>
      <w:pPr>
        <w:ind w:left="1912" w:hanging="420"/>
      </w:pPr>
    </w:lvl>
    <w:lvl w:ilvl="4" w:tplc="04090019" w:tentative="1">
      <w:start w:val="1"/>
      <w:numFmt w:val="lowerLetter"/>
      <w:lvlText w:val="%5)"/>
      <w:lvlJc w:val="left"/>
      <w:pPr>
        <w:ind w:left="2332" w:hanging="420"/>
      </w:pPr>
    </w:lvl>
    <w:lvl w:ilvl="5" w:tplc="0409001B" w:tentative="1">
      <w:start w:val="1"/>
      <w:numFmt w:val="lowerRoman"/>
      <w:lvlText w:val="%6."/>
      <w:lvlJc w:val="right"/>
      <w:pPr>
        <w:ind w:left="2752" w:hanging="420"/>
      </w:pPr>
    </w:lvl>
    <w:lvl w:ilvl="6" w:tplc="0409000F" w:tentative="1">
      <w:start w:val="1"/>
      <w:numFmt w:val="decimal"/>
      <w:lvlText w:val="%7."/>
      <w:lvlJc w:val="left"/>
      <w:pPr>
        <w:ind w:left="3172" w:hanging="420"/>
      </w:pPr>
    </w:lvl>
    <w:lvl w:ilvl="7" w:tplc="04090019" w:tentative="1">
      <w:start w:val="1"/>
      <w:numFmt w:val="lowerLetter"/>
      <w:lvlText w:val="%8)"/>
      <w:lvlJc w:val="left"/>
      <w:pPr>
        <w:ind w:left="3592" w:hanging="420"/>
      </w:pPr>
    </w:lvl>
    <w:lvl w:ilvl="8" w:tplc="0409001B" w:tentative="1">
      <w:start w:val="1"/>
      <w:numFmt w:val="lowerRoman"/>
      <w:lvlText w:val="%9."/>
      <w:lvlJc w:val="right"/>
      <w:pPr>
        <w:ind w:left="4012" w:hanging="420"/>
      </w:pPr>
    </w:lvl>
  </w:abstractNum>
  <w:abstractNum w:abstractNumId="5">
    <w:nsid w:val="55876FCE"/>
    <w:multiLevelType w:val="hybridMultilevel"/>
    <w:tmpl w:val="25743264"/>
    <w:lvl w:ilvl="0" w:tplc="B33456D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60CF2664"/>
    <w:multiLevelType w:val="hybridMultilevel"/>
    <w:tmpl w:val="74C87E2E"/>
    <w:lvl w:ilvl="0" w:tplc="B884336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7EB"/>
    <w:rsid w:val="00226327"/>
    <w:rsid w:val="002E6457"/>
    <w:rsid w:val="00433230"/>
    <w:rsid w:val="004557EB"/>
    <w:rsid w:val="00983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EB"/>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6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6457"/>
    <w:rPr>
      <w:rFonts w:ascii="Calibri" w:eastAsia="仿宋_GB2312" w:hAnsi="Calibri" w:cs="Times New Roman"/>
      <w:sz w:val="18"/>
      <w:szCs w:val="18"/>
    </w:rPr>
  </w:style>
  <w:style w:type="paragraph" w:styleId="a4">
    <w:name w:val="footer"/>
    <w:basedOn w:val="a"/>
    <w:link w:val="Char0"/>
    <w:uiPriority w:val="99"/>
    <w:semiHidden/>
    <w:unhideWhenUsed/>
    <w:rsid w:val="002E64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6457"/>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2835</Characters>
  <Application>Microsoft Office Word</Application>
  <DocSecurity>0</DocSecurity>
  <Lines>23</Lines>
  <Paragraphs>6</Paragraphs>
  <ScaleCrop>false</ScaleCrop>
  <Company>Hewlett-Packard Company</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邢怡媛</dc:creator>
  <cp:lastModifiedBy>Windows 用户</cp:lastModifiedBy>
  <cp:revision>2</cp:revision>
  <dcterms:created xsi:type="dcterms:W3CDTF">2017-04-19T00:09:00Z</dcterms:created>
  <dcterms:modified xsi:type="dcterms:W3CDTF">2017-04-19T00:09:00Z</dcterms:modified>
</cp:coreProperties>
</file>