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B3" w:rsidRPr="0018287C" w:rsidRDefault="00D01CB3" w:rsidP="0018287C">
      <w:pPr>
        <w:adjustRightInd w:val="0"/>
        <w:snapToGrid w:val="0"/>
        <w:spacing w:line="540" w:lineRule="atLeast"/>
        <w:rPr>
          <w:rFonts w:eastAsia="方正小标宋简体"/>
          <w:sz w:val="36"/>
          <w:szCs w:val="36"/>
        </w:rPr>
      </w:pPr>
      <w:bookmarkStart w:id="0" w:name="_GoBack"/>
      <w:bookmarkEnd w:id="0"/>
    </w:p>
    <w:p w:rsidR="004D170E" w:rsidRPr="0018287C" w:rsidRDefault="004D170E" w:rsidP="0018287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18287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D562B9" w:rsidRPr="00D562B9" w:rsidRDefault="00D562B9" w:rsidP="0018287C">
      <w:pPr>
        <w:adjustRightInd w:val="0"/>
        <w:snapToGrid w:val="0"/>
        <w:spacing w:line="540" w:lineRule="atLeast"/>
        <w:jc w:val="center"/>
        <w:rPr>
          <w:rFonts w:eastAsia="黑体"/>
          <w:kern w:val="0"/>
          <w:sz w:val="32"/>
          <w:szCs w:val="32"/>
        </w:rPr>
      </w:pPr>
    </w:p>
    <w:p w:rsidR="004D170E" w:rsidRPr="0018287C" w:rsidRDefault="004D170E" w:rsidP="0018287C">
      <w:pPr>
        <w:adjustRightInd w:val="0"/>
        <w:snapToGrid w:val="0"/>
        <w:spacing w:line="540" w:lineRule="atLeast"/>
        <w:ind w:firstLineChars="250" w:firstLine="803"/>
        <w:jc w:val="left"/>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Pr="0018287C">
        <w:rPr>
          <w:rFonts w:eastAsia="仿宋_GB2312"/>
          <w:kern w:val="0"/>
          <w:sz w:val="32"/>
          <w:szCs w:val="32"/>
        </w:rPr>
        <w:t>[2007]376</w:t>
      </w:r>
      <w:r w:rsidRPr="0018287C">
        <w:rPr>
          <w:rFonts w:eastAsia="仿宋_GB2312"/>
          <w:kern w:val="0"/>
          <w:sz w:val="32"/>
          <w:szCs w:val="32"/>
        </w:rPr>
        <w:t>号）等相关法规和学校财务管理制度，特制定本办法。</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18287C" w:rsidRPr="0018287C" w:rsidRDefault="0018287C" w:rsidP="0018287C">
      <w:pPr>
        <w:adjustRightInd w:val="0"/>
        <w:snapToGrid w:val="0"/>
        <w:spacing w:line="540" w:lineRule="atLeast"/>
        <w:ind w:firstLineChars="200" w:firstLine="643"/>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w:t>
      </w:r>
      <w:r w:rsidRPr="0018287C">
        <w:rPr>
          <w:rFonts w:eastAsia="仿宋_GB2312"/>
          <w:sz w:val="32"/>
          <w:szCs w:val="32"/>
        </w:rPr>
        <w:lastRenderedPageBreak/>
        <w:t>性基础科学后备人才培养。</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（二）教材建设（含理论课和实验课教材建设）：主要用于校级教材、国家级规划教材和优秀教材（含电子教材）建设，并对特色专业和特殊专业教材进行建设和协助出版。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18287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w:t>
      </w:r>
      <w:r w:rsidRPr="0018287C">
        <w:rPr>
          <w:rFonts w:eastAsia="仿宋_GB2312"/>
          <w:kern w:val="0"/>
          <w:sz w:val="32"/>
          <w:szCs w:val="32"/>
        </w:rPr>
        <w:lastRenderedPageBreak/>
        <w:t>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课程；支持课程教学队伍建设，举办青年教师的中英文授课竞赛等。</w:t>
      </w:r>
    </w:p>
    <w:p w:rsidR="004D170E" w:rsidRPr="0018287C" w:rsidRDefault="004D170E" w:rsidP="0018287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18287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18287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18287C" w:rsidRPr="0018287C" w:rsidRDefault="0018287C" w:rsidP="0018287C">
      <w:pPr>
        <w:adjustRightInd w:val="0"/>
        <w:snapToGrid w:val="0"/>
        <w:spacing w:line="540" w:lineRule="atLeast"/>
        <w:ind w:left="660"/>
        <w:jc w:val="center"/>
        <w:rPr>
          <w:rFonts w:eastAsia="仿宋_GB2312"/>
          <w:b/>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按项目制方式核拨。由教务处组织项目申报、评审、立项，以及下达经费指标；以项目制运行的专项经费可根据实际情况分次拨款或一次性拨款。主要有教材建设、学生竞赛、学生科研、课程建设、教学改革、视频公开课课程建设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18287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18287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18287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项目结束或通过验收后，原则上应在一个月内办理结题和销账手续。未按期办理结题手续的，财务主管部门将根据教务处通知冻结项目经费，待办妥结题手续后方能继续使用。</w:t>
      </w:r>
    </w:p>
    <w:p w:rsidR="004D170E" w:rsidRPr="0018287C" w:rsidRDefault="004D170E" w:rsidP="0018287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18287C">
      <w:pPr>
        <w:adjustRightInd w:val="0"/>
        <w:snapToGrid w:val="0"/>
        <w:spacing w:line="540" w:lineRule="atLeast"/>
        <w:ind w:firstLineChars="200" w:firstLine="640"/>
        <w:rPr>
          <w:rFonts w:eastAsia="仿宋_GB2312"/>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pBdr>
          <w:top w:val="single" w:sz="4" w:space="1" w:color="auto"/>
          <w:bottom w:val="single" w:sz="4" w:space="1" w:color="auto"/>
        </w:pBdr>
        <w:adjustRightInd w:val="0"/>
        <w:snapToGrid w:val="0"/>
        <w:spacing w:line="540" w:lineRule="atLeast"/>
        <w:ind w:firstLine="320"/>
      </w:pPr>
      <w:r w:rsidRPr="0018287C">
        <w:rPr>
          <w:rFonts w:eastAsia="仿宋_GB2312"/>
          <w:snapToGrid w:val="0"/>
          <w:kern w:val="0"/>
          <w:sz w:val="28"/>
          <w:szCs w:val="28"/>
        </w:rPr>
        <w:t>中山大学校长办公室</w:t>
      </w:r>
      <w:r w:rsidRPr="0018287C">
        <w:rPr>
          <w:rFonts w:eastAsia="仿宋_GB2312"/>
          <w:snapToGrid w:val="0"/>
          <w:kern w:val="0"/>
          <w:sz w:val="28"/>
          <w:szCs w:val="28"/>
        </w:rPr>
        <w:t xml:space="preserve">                     2014</w:t>
      </w:r>
      <w:r w:rsidRPr="0018287C">
        <w:rPr>
          <w:rFonts w:eastAsia="仿宋_GB2312"/>
          <w:snapToGrid w:val="0"/>
          <w:kern w:val="0"/>
          <w:sz w:val="28"/>
          <w:szCs w:val="28"/>
        </w:rPr>
        <w:t>年</w:t>
      </w:r>
      <w:r w:rsidRPr="0018287C">
        <w:rPr>
          <w:rFonts w:eastAsia="仿宋_GB2312"/>
          <w:snapToGrid w:val="0"/>
          <w:kern w:val="0"/>
          <w:sz w:val="28"/>
          <w:szCs w:val="28"/>
        </w:rPr>
        <w:t>3</w:t>
      </w:r>
      <w:r w:rsidRPr="0018287C">
        <w:rPr>
          <w:rFonts w:eastAsia="仿宋_GB2312"/>
          <w:snapToGrid w:val="0"/>
          <w:kern w:val="0"/>
          <w:sz w:val="28"/>
          <w:szCs w:val="28"/>
        </w:rPr>
        <w:t>月</w:t>
      </w:r>
      <w:r w:rsidRPr="0018287C">
        <w:rPr>
          <w:rFonts w:eastAsia="仿宋_GB2312"/>
          <w:snapToGrid w:val="0"/>
          <w:kern w:val="0"/>
          <w:sz w:val="28"/>
          <w:szCs w:val="28"/>
        </w:rPr>
        <w:t>6</w:t>
      </w:r>
      <w:r w:rsidRPr="0018287C">
        <w:rPr>
          <w:rFonts w:eastAsia="仿宋_GB2312"/>
          <w:snapToGrid w:val="0"/>
          <w:kern w:val="0"/>
          <w:sz w:val="28"/>
          <w:szCs w:val="28"/>
        </w:rPr>
        <w:t>日印发</w:t>
      </w: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8E" w:rsidRDefault="00C13C8E" w:rsidP="00F5169D">
      <w:r>
        <w:separator/>
      </w:r>
    </w:p>
  </w:endnote>
  <w:endnote w:type="continuationSeparator" w:id="0">
    <w:p w:rsidR="00C13C8E" w:rsidRDefault="00C13C8E" w:rsidP="00F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7C" w:rsidRPr="0018287C" w:rsidRDefault="0018287C">
    <w:pPr>
      <w:pStyle w:val="a3"/>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DA6F4E" w:rsidRPr="00DA6F4E">
      <w:rPr>
        <w:noProof/>
        <w:sz w:val="28"/>
        <w:szCs w:val="28"/>
        <w:lang w:val="zh-CN"/>
      </w:rPr>
      <w:t>2</w:t>
    </w:r>
    <w:r w:rsidR="000A0ADB"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7C" w:rsidRPr="0018287C" w:rsidRDefault="0018287C">
    <w:pPr>
      <w:pStyle w:val="a3"/>
      <w:jc w:val="right"/>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DA6F4E" w:rsidRPr="00DA6F4E">
      <w:rPr>
        <w:noProof/>
        <w:sz w:val="28"/>
        <w:szCs w:val="28"/>
        <w:lang w:val="zh-CN"/>
      </w:rPr>
      <w:t>1</w:t>
    </w:r>
    <w:r w:rsidR="000A0ADB"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8E" w:rsidRDefault="00C13C8E" w:rsidP="00F5169D">
      <w:r>
        <w:separator/>
      </w:r>
    </w:p>
  </w:footnote>
  <w:footnote w:type="continuationSeparator" w:id="0">
    <w:p w:rsidR="00C13C8E" w:rsidRDefault="00C13C8E" w:rsidP="00F51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0E" w:rsidRDefault="004D170E" w:rsidP="00496E3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19"/>
    <w:rsid w:val="00013284"/>
    <w:rsid w:val="000A0ADB"/>
    <w:rsid w:val="000C26A1"/>
    <w:rsid w:val="000C76E4"/>
    <w:rsid w:val="00140273"/>
    <w:rsid w:val="00155A22"/>
    <w:rsid w:val="00170FFE"/>
    <w:rsid w:val="00173200"/>
    <w:rsid w:val="0018287C"/>
    <w:rsid w:val="00216819"/>
    <w:rsid w:val="00227D33"/>
    <w:rsid w:val="002D4B90"/>
    <w:rsid w:val="002E1875"/>
    <w:rsid w:val="002F7219"/>
    <w:rsid w:val="003429ED"/>
    <w:rsid w:val="004127CC"/>
    <w:rsid w:val="00414E59"/>
    <w:rsid w:val="00441ED1"/>
    <w:rsid w:val="00496E39"/>
    <w:rsid w:val="004C5134"/>
    <w:rsid w:val="004C7A88"/>
    <w:rsid w:val="004D170E"/>
    <w:rsid w:val="004F5F72"/>
    <w:rsid w:val="0052254F"/>
    <w:rsid w:val="005429B9"/>
    <w:rsid w:val="00543CBB"/>
    <w:rsid w:val="00584BF1"/>
    <w:rsid w:val="005B2D87"/>
    <w:rsid w:val="006324CD"/>
    <w:rsid w:val="006670B9"/>
    <w:rsid w:val="00681734"/>
    <w:rsid w:val="00690BBF"/>
    <w:rsid w:val="006D3F45"/>
    <w:rsid w:val="006D5C01"/>
    <w:rsid w:val="006F4CFE"/>
    <w:rsid w:val="00731A91"/>
    <w:rsid w:val="007A1637"/>
    <w:rsid w:val="007D7155"/>
    <w:rsid w:val="008828CD"/>
    <w:rsid w:val="008E08E1"/>
    <w:rsid w:val="0094538B"/>
    <w:rsid w:val="009E4D91"/>
    <w:rsid w:val="00A76EB3"/>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13C8E"/>
    <w:rsid w:val="00C64A2E"/>
    <w:rsid w:val="00C846A7"/>
    <w:rsid w:val="00CC319F"/>
    <w:rsid w:val="00D01CB3"/>
    <w:rsid w:val="00D15E88"/>
    <w:rsid w:val="00D25187"/>
    <w:rsid w:val="00D26A5A"/>
    <w:rsid w:val="00D34F77"/>
    <w:rsid w:val="00D562B9"/>
    <w:rsid w:val="00DA6BA5"/>
    <w:rsid w:val="00DA6F4E"/>
    <w:rsid w:val="00DF2AA9"/>
    <w:rsid w:val="00DF3835"/>
    <w:rsid w:val="00E273A3"/>
    <w:rsid w:val="00E31C21"/>
    <w:rsid w:val="00E37FBE"/>
    <w:rsid w:val="00E7043B"/>
    <w:rsid w:val="00E928F1"/>
    <w:rsid w:val="00EB3ACD"/>
    <w:rsid w:val="00ED246B"/>
    <w:rsid w:val="00EE1FD8"/>
    <w:rsid w:val="00EE2F69"/>
    <w:rsid w:val="00F16B97"/>
    <w:rsid w:val="00F45E66"/>
    <w:rsid w:val="00F5169D"/>
    <w:rsid w:val="00F90752"/>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9F2DF86-F0FC-41B6-9CA1-0320D9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219"/>
    <w:pPr>
      <w:tabs>
        <w:tab w:val="center" w:pos="4153"/>
        <w:tab w:val="right" w:pos="8306"/>
      </w:tabs>
      <w:snapToGrid w:val="0"/>
      <w:jc w:val="left"/>
    </w:pPr>
    <w:rPr>
      <w:kern w:val="0"/>
      <w:sz w:val="18"/>
      <w:szCs w:val="18"/>
    </w:rPr>
  </w:style>
  <w:style w:type="character" w:customStyle="1" w:styleId="a4">
    <w:name w:val="页脚 字符"/>
    <w:link w:val="a3"/>
    <w:uiPriority w:val="99"/>
    <w:locked/>
    <w:rsid w:val="002F7219"/>
    <w:rPr>
      <w:rFonts w:ascii="Times New Roman" w:eastAsia="宋体" w:hAnsi="Times New Roman" w:cs="Times New Roman"/>
      <w:sz w:val="18"/>
      <w:szCs w:val="18"/>
    </w:rPr>
  </w:style>
  <w:style w:type="character" w:styleId="a5">
    <w:name w:val="page number"/>
    <w:uiPriority w:val="99"/>
    <w:rsid w:val="002F7219"/>
    <w:rPr>
      <w:rFonts w:cs="Times New Roman"/>
    </w:rPr>
  </w:style>
  <w:style w:type="paragraph" w:styleId="a6">
    <w:name w:val="header"/>
    <w:basedOn w:val="a"/>
    <w:link w:val="a7"/>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8">
    <w:name w:val="annotation reference"/>
    <w:uiPriority w:val="99"/>
    <w:semiHidden/>
    <w:rsid w:val="002F7219"/>
    <w:rPr>
      <w:rFonts w:cs="Times New Roman"/>
      <w:sz w:val="21"/>
      <w:szCs w:val="21"/>
    </w:rPr>
  </w:style>
  <w:style w:type="paragraph" w:styleId="a9">
    <w:name w:val="annotation text"/>
    <w:basedOn w:val="a"/>
    <w:link w:val="aa"/>
    <w:uiPriority w:val="99"/>
    <w:semiHidden/>
    <w:rsid w:val="002F7219"/>
    <w:pPr>
      <w:jc w:val="left"/>
    </w:pPr>
    <w:rPr>
      <w:rFonts w:ascii="Calibri" w:hAnsi="Calibri"/>
      <w:kern w:val="0"/>
      <w:szCs w:val="21"/>
    </w:rPr>
  </w:style>
  <w:style w:type="character" w:customStyle="1" w:styleId="aa">
    <w:name w:val="批注文字 字符"/>
    <w:link w:val="a9"/>
    <w:uiPriority w:val="99"/>
    <w:semiHidden/>
    <w:locked/>
    <w:rsid w:val="002F7219"/>
    <w:rPr>
      <w:rFonts w:ascii="Calibri" w:eastAsia="宋体" w:hAnsi="Calibri" w:cs="Calibri"/>
      <w:sz w:val="21"/>
      <w:szCs w:val="21"/>
    </w:rPr>
  </w:style>
  <w:style w:type="paragraph" w:styleId="ab">
    <w:name w:val="Balloon Text"/>
    <w:basedOn w:val="a"/>
    <w:link w:val="ac"/>
    <w:uiPriority w:val="99"/>
    <w:semiHidden/>
    <w:rsid w:val="002F7219"/>
    <w:rPr>
      <w:kern w:val="0"/>
      <w:sz w:val="18"/>
      <w:szCs w:val="18"/>
    </w:rPr>
  </w:style>
  <w:style w:type="character" w:customStyle="1" w:styleId="ac">
    <w:name w:val="批注框文本 字符"/>
    <w:link w:val="ab"/>
    <w:uiPriority w:val="99"/>
    <w:semiHidden/>
    <w:locked/>
    <w:rsid w:val="002F7219"/>
    <w:rPr>
      <w:rFonts w:ascii="Times New Roman" w:eastAsia="宋体" w:hAnsi="Times New Roman" w:cs="Times New Roman"/>
      <w:sz w:val="18"/>
      <w:szCs w:val="18"/>
    </w:rPr>
  </w:style>
  <w:style w:type="paragraph" w:styleId="ad">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e">
    <w:name w:val="Date"/>
    <w:basedOn w:val="a"/>
    <w:next w:val="a"/>
    <w:link w:val="af"/>
    <w:uiPriority w:val="99"/>
    <w:semiHidden/>
    <w:unhideWhenUsed/>
    <w:rsid w:val="00D01CB3"/>
    <w:pPr>
      <w:ind w:leftChars="2500" w:left="100"/>
    </w:pPr>
  </w:style>
  <w:style w:type="character" w:customStyle="1" w:styleId="af">
    <w:name w:val="日期 字符"/>
    <w:link w:val="ae"/>
    <w:uiPriority w:val="99"/>
    <w:semiHidden/>
    <w:rsid w:val="00D01CB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3247</Characters>
  <Application>Microsoft Office Word</Application>
  <DocSecurity>0</DocSecurity>
  <Lines>27</Lines>
  <Paragraphs>7</Paragraphs>
  <ScaleCrop>false</ScaleCrop>
  <Company>微软中国</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Administrator</cp:lastModifiedBy>
  <cp:revision>2</cp:revision>
  <cp:lastPrinted>2014-02-26T08:08:00Z</cp:lastPrinted>
  <dcterms:created xsi:type="dcterms:W3CDTF">2020-01-08T07:55:00Z</dcterms:created>
  <dcterms:modified xsi:type="dcterms:W3CDTF">2020-01-08T07:55:00Z</dcterms:modified>
</cp:coreProperties>
</file>