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726A5" w14:textId="77777777" w:rsidR="00194902" w:rsidRPr="00F828FB" w:rsidRDefault="00194902" w:rsidP="00194902">
      <w:pPr>
        <w:jc w:val="left"/>
        <w:rPr>
          <w:rFonts w:ascii="仿宋_GB2312" w:eastAsia="仿宋_GB2312" w:hAnsi="宋体"/>
          <w:sz w:val="21"/>
          <w:szCs w:val="21"/>
        </w:rPr>
      </w:pPr>
      <w:r w:rsidRPr="00F828FB">
        <w:rPr>
          <w:rFonts w:ascii="仿宋_GB2312" w:eastAsia="仿宋_GB2312" w:hAnsi="宋体" w:hint="eastAsia"/>
          <w:sz w:val="21"/>
          <w:szCs w:val="21"/>
        </w:rPr>
        <w:t>附件</w:t>
      </w:r>
      <w:r w:rsidR="00DA6A11">
        <w:rPr>
          <w:rFonts w:ascii="仿宋_GB2312" w:eastAsia="仿宋_GB2312" w:hAnsi="宋体" w:hint="eastAsia"/>
          <w:sz w:val="21"/>
          <w:szCs w:val="21"/>
        </w:rPr>
        <w:t>5</w:t>
      </w:r>
      <w:r w:rsidRPr="00F828FB">
        <w:rPr>
          <w:rFonts w:ascii="仿宋_GB2312" w:eastAsia="仿宋_GB2312" w:hAnsi="宋体" w:hint="eastAsia"/>
          <w:sz w:val="21"/>
          <w:szCs w:val="21"/>
        </w:rPr>
        <w:t>：</w:t>
      </w:r>
    </w:p>
    <w:p w14:paraId="6C823C3D" w14:textId="77777777" w:rsidR="00194902" w:rsidRPr="00F828FB" w:rsidRDefault="00194902" w:rsidP="008C63E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 w:rsidRPr="00F828FB">
        <w:rPr>
          <w:rFonts w:ascii="仿宋_GB2312" w:eastAsia="仿宋_GB2312" w:hAnsi="宋体" w:hint="eastAsia"/>
          <w:b/>
          <w:szCs w:val="32"/>
        </w:rPr>
        <w:t>中央高校改善基本办学条件专项资金</w:t>
      </w:r>
    </w:p>
    <w:p w14:paraId="5B4DF39F" w14:textId="77777777" w:rsidR="00194902" w:rsidRPr="00F828FB" w:rsidRDefault="00194902" w:rsidP="008C63E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子</w:t>
      </w:r>
      <w:r w:rsidRPr="00F828FB"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活 动</w:t>
      </w:r>
      <w:r w:rsidRPr="00F828FB">
        <w:rPr>
          <w:rFonts w:ascii="仿宋_GB2312" w:eastAsia="仿宋_GB2312" w:hAnsi="宋体" w:hint="eastAsia"/>
          <w:b/>
          <w:szCs w:val="32"/>
        </w:rPr>
        <w:t xml:space="preserve"> 申 报 书</w:t>
      </w:r>
    </w:p>
    <w:p w14:paraId="5887FBF1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73D93CF1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7003D512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5E12068D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74924887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2AF5662B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235D54AB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4E85DDD1" w14:textId="77777777" w:rsidR="00194902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子活动</w:t>
      </w:r>
      <w:r w:rsidRPr="00F828FB">
        <w:rPr>
          <w:rFonts w:ascii="仿宋_GB2312" w:eastAsia="仿宋_GB2312" w:hAnsi="宋体" w:hint="eastAsia"/>
          <w:szCs w:val="32"/>
        </w:rPr>
        <w:t>名称：</w:t>
      </w:r>
    </w:p>
    <w:p w14:paraId="009B6F86" w14:textId="6C6AA75F"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  <w:r w:rsidR="00CE6EC0" w:rsidRPr="00CE6EC0">
        <w:rPr>
          <w:rFonts w:ascii="仿宋_GB2312" w:eastAsia="仿宋_GB2312" w:hAnsi="宋体" w:hint="eastAsia"/>
          <w:szCs w:val="32"/>
        </w:rPr>
        <w:t>设备资料购置</w:t>
      </w:r>
    </w:p>
    <w:p w14:paraId="66121DED" w14:textId="77777777"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 w:rsidR="004E3BAE">
        <w:rPr>
          <w:rFonts w:ascii="仿宋_GB2312" w:eastAsia="仿宋_GB2312" w:hAnsi="宋体" w:hint="eastAsia"/>
          <w:szCs w:val="32"/>
        </w:rPr>
        <w:t>单位</w:t>
      </w:r>
      <w:r w:rsidRPr="00F828FB">
        <w:rPr>
          <w:rFonts w:ascii="仿宋_GB2312" w:eastAsia="仿宋_GB2312" w:hAnsi="宋体" w:hint="eastAsia"/>
          <w:szCs w:val="32"/>
        </w:rPr>
        <w:t>：</w:t>
      </w:r>
    </w:p>
    <w:p w14:paraId="6012FA6B" w14:textId="77777777"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主管部门：</w:t>
      </w:r>
    </w:p>
    <w:p w14:paraId="531DC0B3" w14:textId="77777777"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申报日期：</w:t>
      </w:r>
      <w:r w:rsidR="007032E2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>年</w:t>
      </w:r>
      <w:r w:rsidR="007032E2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>月</w:t>
      </w:r>
      <w:r w:rsidR="007032E2">
        <w:rPr>
          <w:rFonts w:ascii="仿宋_GB2312" w:eastAsia="仿宋_GB2312" w:hAnsi="宋体" w:hint="eastAsia"/>
          <w:szCs w:val="32"/>
        </w:rPr>
        <w:t xml:space="preserve">  </w:t>
      </w:r>
      <w:r w:rsidRPr="00F828FB">
        <w:rPr>
          <w:rFonts w:ascii="仿宋_GB2312" w:eastAsia="仿宋_GB2312" w:hAnsi="宋体" w:hint="eastAsia"/>
          <w:szCs w:val="32"/>
        </w:rPr>
        <w:t xml:space="preserve">日   </w:t>
      </w:r>
    </w:p>
    <w:p w14:paraId="37766719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545DFC47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34A41399" w14:textId="77777777"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14:paraId="1590AC53" w14:textId="77777777" w:rsidR="00194902" w:rsidRPr="00F828FB" w:rsidRDefault="00194902" w:rsidP="00194902">
      <w:pPr>
        <w:jc w:val="center"/>
        <w:rPr>
          <w:rFonts w:ascii="仿宋_GB2312" w:eastAsia="仿宋_GB2312" w:hAnsi="宋体"/>
          <w:szCs w:val="32"/>
        </w:rPr>
      </w:pPr>
    </w:p>
    <w:p w14:paraId="6A2FBA86" w14:textId="77777777" w:rsidR="00194902" w:rsidRPr="00F828FB" w:rsidRDefault="00194902" w:rsidP="00194902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F828FB"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子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活 动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申 报 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854"/>
        <w:gridCol w:w="2112"/>
        <w:gridCol w:w="2701"/>
      </w:tblGrid>
      <w:tr w:rsidR="00194902" w:rsidRPr="00F828FB" w14:paraId="5B889A89" w14:textId="77777777" w:rsidTr="00516FD5">
        <w:trPr>
          <w:trHeight w:val="452"/>
        </w:trPr>
        <w:tc>
          <w:tcPr>
            <w:tcW w:w="1855" w:type="dxa"/>
            <w:vAlign w:val="center"/>
          </w:tcPr>
          <w:p w14:paraId="4413A6BB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14:paraId="40F03E08" w14:textId="77777777"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14:paraId="10EAE66C" w14:textId="77777777" w:rsidTr="00516FD5">
        <w:trPr>
          <w:trHeight w:val="458"/>
        </w:trPr>
        <w:tc>
          <w:tcPr>
            <w:tcW w:w="1855" w:type="dxa"/>
            <w:vAlign w:val="center"/>
          </w:tcPr>
          <w:p w14:paraId="229D6D9C" w14:textId="77777777" w:rsidR="00194902" w:rsidRPr="00F828FB" w:rsidRDefault="004E3BAE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8A41AE">
              <w:rPr>
                <w:rFonts w:ascii="宋体" w:eastAsia="宋体" w:hAnsi="宋体" w:hint="eastAsia"/>
                <w:sz w:val="21"/>
                <w:szCs w:val="21"/>
              </w:rPr>
              <w:t>编</w:t>
            </w:r>
            <w:r w:rsidR="00194902">
              <w:rPr>
                <w:rFonts w:ascii="宋体" w:eastAsia="宋体" w:hAnsi="宋体" w:hint="eastAsia"/>
                <w:sz w:val="21"/>
                <w:szCs w:val="21"/>
              </w:rPr>
              <w:t>码</w:t>
            </w:r>
          </w:p>
        </w:tc>
        <w:tc>
          <w:tcPr>
            <w:tcW w:w="6667" w:type="dxa"/>
            <w:gridSpan w:val="3"/>
            <w:vAlign w:val="center"/>
          </w:tcPr>
          <w:p w14:paraId="0C82CC79" w14:textId="77777777"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14:paraId="050D9CF7" w14:textId="77777777" w:rsidTr="00516FD5">
        <w:trPr>
          <w:trHeight w:val="463"/>
        </w:trPr>
        <w:tc>
          <w:tcPr>
            <w:tcW w:w="1855" w:type="dxa"/>
            <w:vAlign w:val="center"/>
          </w:tcPr>
          <w:p w14:paraId="1E967402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commentRangeStart w:id="0"/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  <w:commentRangeEnd w:id="0"/>
            <w:r w:rsidR="008A41AE">
              <w:rPr>
                <w:rStyle w:val="a5"/>
              </w:rPr>
              <w:commentReference w:id="0"/>
            </w:r>
          </w:p>
        </w:tc>
        <w:tc>
          <w:tcPr>
            <w:tcW w:w="6667" w:type="dxa"/>
            <w:gridSpan w:val="3"/>
            <w:vAlign w:val="center"/>
          </w:tcPr>
          <w:p w14:paraId="0CED421A" w14:textId="77777777"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14:paraId="1F07B8FF" w14:textId="77777777" w:rsidTr="00516FD5">
        <w:trPr>
          <w:trHeight w:val="455"/>
        </w:trPr>
        <w:tc>
          <w:tcPr>
            <w:tcW w:w="1855" w:type="dxa"/>
            <w:vAlign w:val="center"/>
          </w:tcPr>
          <w:p w14:paraId="764B6813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14:paraId="45E49185" w14:textId="77777777"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14:paraId="6CAF7574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 w14:paraId="2239D0B0" w14:textId="77777777"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94902" w:rsidRPr="00F828FB" w14:paraId="47367711" w14:textId="77777777" w:rsidTr="00516FD5">
        <w:trPr>
          <w:trHeight w:val="539"/>
        </w:trPr>
        <w:tc>
          <w:tcPr>
            <w:tcW w:w="1855" w:type="dxa"/>
            <w:vAlign w:val="center"/>
          </w:tcPr>
          <w:p w14:paraId="0650C5F0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14:paraId="63C63D9C" w14:textId="69988CDA" w:rsidR="00194902" w:rsidRPr="00F828FB" w:rsidRDefault="00A87B19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A87B19">
              <w:rPr>
                <w:rFonts w:ascii="宋体" w:eastAsia="宋体" w:hAnsi="宋体" w:hint="eastAsia"/>
                <w:sz w:val="21"/>
                <w:szCs w:val="21"/>
              </w:rPr>
              <w:t>设备资料购置</w:t>
            </w:r>
          </w:p>
        </w:tc>
      </w:tr>
      <w:tr w:rsidR="00194902" w:rsidRPr="00F828FB" w14:paraId="3E47FF81" w14:textId="77777777" w:rsidTr="00516FD5">
        <w:trPr>
          <w:trHeight w:val="775"/>
        </w:trPr>
        <w:tc>
          <w:tcPr>
            <w:tcW w:w="1855" w:type="dxa"/>
            <w:vAlign w:val="center"/>
          </w:tcPr>
          <w:p w14:paraId="0F82A883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14:paraId="22875B32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commentRangeStart w:id="1"/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.安防□        2.消防□      3.防雷□     4.教室修缮□ </w:t>
            </w:r>
          </w:p>
          <w:p w14:paraId="3DC24A15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5.学生宿舍修缮□     6.食堂修缮□          7.图书馆修缮□   </w:t>
            </w:r>
          </w:p>
          <w:p w14:paraId="61A0D4F4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8.体育馆修缮□       9.地下管网综合改造□  </w:t>
            </w:r>
          </w:p>
          <w:p w14:paraId="72167FDC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10.校园艺术演出场地修缮及相关设备购置□</w:t>
            </w:r>
          </w:p>
          <w:p w14:paraId="6434185A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11.古建修缮□        12.电力增容□         13.供暖锅炉改造□ </w:t>
            </w:r>
          </w:p>
          <w:p w14:paraId="3D97113B" w14:textId="26E4299A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14.校园信息化建设□  15.教学实验室改造□  </w:t>
            </w:r>
          </w:p>
          <w:p w14:paraId="677CEAC9" w14:textId="4C54CDDE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16.教学实验室设备购置□</w:t>
            </w:r>
            <w:r w:rsidR="00D37232" w:rsidRPr="00F61C94">
              <w:rPr>
                <w:rFonts w:ascii="宋体" w:eastAsia="宋体" w:hAnsi="宋体" w:hint="eastAsia"/>
                <w:b/>
                <w:sz w:val="21"/>
                <w:szCs w:val="21"/>
              </w:rPr>
              <w:t>√</w:t>
            </w:r>
            <w:r w:rsidR="00D37232"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17.其他□</w:t>
            </w:r>
            <w:commentRangeEnd w:id="1"/>
            <w:r w:rsidR="008A41AE">
              <w:rPr>
                <w:rStyle w:val="a5"/>
              </w:rPr>
              <w:commentReference w:id="1"/>
            </w:r>
          </w:p>
        </w:tc>
      </w:tr>
      <w:tr w:rsidR="00194902" w:rsidRPr="00F828FB" w14:paraId="36CB60C4" w14:textId="77777777" w:rsidTr="00516FD5">
        <w:trPr>
          <w:cantSplit/>
          <w:trHeight w:hRule="exact" w:val="3110"/>
        </w:trPr>
        <w:tc>
          <w:tcPr>
            <w:tcW w:w="1855" w:type="dxa"/>
            <w:vAlign w:val="center"/>
          </w:tcPr>
          <w:p w14:paraId="6B21D393" w14:textId="77777777" w:rsidR="00194902" w:rsidRPr="00F828FB" w:rsidRDefault="00194902" w:rsidP="007032E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描述</w:t>
            </w:r>
          </w:p>
        </w:tc>
        <w:tc>
          <w:tcPr>
            <w:tcW w:w="6667" w:type="dxa"/>
            <w:gridSpan w:val="3"/>
          </w:tcPr>
          <w:p w14:paraId="0BBE94D5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对</w:t>
            </w:r>
            <w:r w:rsidR="007032E2">
              <w:rPr>
                <w:rFonts w:ascii="宋体" w:eastAsia="宋体" w:hAnsi="宋体"/>
                <w:sz w:val="21"/>
                <w:szCs w:val="21"/>
              </w:rPr>
              <w:t>子活动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进行</w:t>
            </w:r>
            <w:r w:rsidR="007032E2">
              <w:rPr>
                <w:rFonts w:ascii="宋体" w:eastAsia="宋体" w:hAnsi="宋体"/>
                <w:sz w:val="21"/>
                <w:szCs w:val="21"/>
              </w:rPr>
              <w:t>总体描述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14:paraId="29606E8C" w14:textId="77777777"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14:paraId="737DA90E" w14:textId="77777777"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6A4707EE" w14:textId="77777777" w:rsidTr="0069744B">
        <w:trPr>
          <w:cantSplit/>
          <w:trHeight w:hRule="exact" w:val="2096"/>
        </w:trPr>
        <w:tc>
          <w:tcPr>
            <w:tcW w:w="1855" w:type="dxa"/>
            <w:vAlign w:val="center"/>
          </w:tcPr>
          <w:p w14:paraId="334C2196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14:paraId="0AB13DEE" w14:textId="77777777" w:rsidR="00194902" w:rsidRPr="00F828FB" w:rsidRDefault="007032E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必要性</w:t>
            </w:r>
            <w:r>
              <w:rPr>
                <w:rFonts w:ascii="宋体" w:eastAsia="宋体" w:hAnsi="宋体"/>
                <w:sz w:val="21"/>
                <w:szCs w:val="21"/>
              </w:rPr>
              <w:t>、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14:paraId="4CA17D0C" w14:textId="77777777" w:rsidR="00194902" w:rsidRPr="00F828FB" w:rsidRDefault="00194902" w:rsidP="0069744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7032E2" w:rsidRPr="00F828FB">
              <w:rPr>
                <w:rFonts w:ascii="宋体" w:eastAsia="宋体" w:hAnsi="宋体" w:hint="eastAsia"/>
                <w:sz w:val="21"/>
                <w:szCs w:val="21"/>
              </w:rPr>
              <w:t>说明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7032E2"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="007032E2" w:rsidRPr="00F828FB">
              <w:rPr>
                <w:rFonts w:ascii="宋体" w:eastAsia="宋体" w:hAnsi="宋体" w:hint="eastAsia"/>
                <w:sz w:val="21"/>
                <w:szCs w:val="21"/>
              </w:rPr>
              <w:t>实施的立项依据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；2</w:t>
            </w:r>
            <w:r w:rsidR="0069744B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的主要工作思路与设想；</w:t>
            </w:r>
            <w:r w:rsidR="0069744B"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预算的合理性及可靠性分析）</w:t>
            </w:r>
          </w:p>
        </w:tc>
      </w:tr>
      <w:tr w:rsidR="00194902" w:rsidRPr="00F828FB" w14:paraId="188EFBEE" w14:textId="77777777" w:rsidTr="00516FD5">
        <w:trPr>
          <w:cantSplit/>
          <w:trHeight w:hRule="exact" w:val="2707"/>
        </w:trPr>
        <w:tc>
          <w:tcPr>
            <w:tcW w:w="1855" w:type="dxa"/>
            <w:vAlign w:val="center"/>
          </w:tcPr>
          <w:p w14:paraId="420815BE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实施条件</w:t>
            </w:r>
          </w:p>
        </w:tc>
        <w:tc>
          <w:tcPr>
            <w:tcW w:w="6667" w:type="dxa"/>
            <w:gridSpan w:val="3"/>
          </w:tcPr>
          <w:p w14:paraId="4B370386" w14:textId="77777777" w:rsidR="00194902" w:rsidRPr="00F828FB" w:rsidRDefault="00194902" w:rsidP="00516FD5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（主要说明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实施的人员条件、资金条件、基础条件等）</w:t>
            </w:r>
          </w:p>
        </w:tc>
      </w:tr>
      <w:tr w:rsidR="00194902" w:rsidRPr="00F828FB" w14:paraId="5304A40C" w14:textId="77777777" w:rsidTr="00516FD5">
        <w:trPr>
          <w:cantSplit/>
          <w:trHeight w:hRule="exact" w:val="5617"/>
        </w:trPr>
        <w:tc>
          <w:tcPr>
            <w:tcW w:w="1855" w:type="dxa"/>
            <w:vAlign w:val="center"/>
          </w:tcPr>
          <w:p w14:paraId="4063A18B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实施主要</w:t>
            </w:r>
          </w:p>
          <w:p w14:paraId="4939214B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14:paraId="2FBF253F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需要开展工作的主要方面，并分项说明预算测算过程及总体预算）</w:t>
            </w:r>
          </w:p>
        </w:tc>
      </w:tr>
      <w:tr w:rsidR="00194902" w:rsidRPr="00F828FB" w14:paraId="64726ED1" w14:textId="77777777" w:rsidTr="00516FD5">
        <w:trPr>
          <w:cantSplit/>
          <w:trHeight w:hRule="exact" w:val="1870"/>
        </w:trPr>
        <w:tc>
          <w:tcPr>
            <w:tcW w:w="1855" w:type="dxa"/>
            <w:vAlign w:val="center"/>
          </w:tcPr>
          <w:p w14:paraId="7416491B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进度与</w:t>
            </w:r>
          </w:p>
          <w:p w14:paraId="15FF8E77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14:paraId="0809363D" w14:textId="77777777" w:rsidR="00194902" w:rsidRPr="00F828FB" w:rsidRDefault="00194902" w:rsidP="00516FD5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（分阶段说明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进度安排计划，并说明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实施期限）</w:t>
            </w:r>
          </w:p>
        </w:tc>
      </w:tr>
      <w:tr w:rsidR="00194902" w:rsidRPr="00F828FB" w14:paraId="21CE5F45" w14:textId="77777777" w:rsidTr="00516FD5">
        <w:trPr>
          <w:cantSplit/>
          <w:trHeight w:hRule="exact" w:val="2801"/>
        </w:trPr>
        <w:tc>
          <w:tcPr>
            <w:tcW w:w="1855" w:type="dxa"/>
            <w:vAlign w:val="center"/>
          </w:tcPr>
          <w:p w14:paraId="15122BA9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风险与</w:t>
            </w:r>
          </w:p>
          <w:p w14:paraId="75219CCD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14:paraId="25895D55" w14:textId="77777777"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194902" w:rsidRPr="00F828FB" w14:paraId="2D8E6FB4" w14:textId="77777777" w:rsidTr="00516FD5">
        <w:trPr>
          <w:cantSplit/>
          <w:trHeight w:hRule="exact" w:val="3286"/>
        </w:trPr>
        <w:tc>
          <w:tcPr>
            <w:tcW w:w="1855" w:type="dxa"/>
            <w:vAlign w:val="center"/>
          </w:tcPr>
          <w:p w14:paraId="0529A84C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14:paraId="2A2A1100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14:paraId="2ADAF8FB" w14:textId="77777777" w:rsidR="00194902" w:rsidRPr="00F828FB" w:rsidRDefault="00194902" w:rsidP="0075405B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14:paraId="4C6020E9" w14:textId="77777777" w:rsidR="00194902" w:rsidRPr="00F828FB" w:rsidRDefault="00194902" w:rsidP="008C63E2">
      <w:pPr>
        <w:spacing w:beforeLines="50" w:before="120" w:afterLines="50" w:after="12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子活动</w:t>
      </w:r>
      <w:r w:rsidRPr="00F828FB">
        <w:rPr>
          <w:rFonts w:ascii="宋体" w:eastAsia="宋体" w:hAnsi="宋体" w:hint="eastAsia"/>
          <w:b/>
          <w:sz w:val="28"/>
          <w:szCs w:val="28"/>
        </w:rPr>
        <w:t>支出预算明细表</w:t>
      </w:r>
    </w:p>
    <w:p w14:paraId="1EDB604A" w14:textId="77777777" w:rsidR="00194902" w:rsidRPr="00F828FB" w:rsidRDefault="00194902">
      <w:pPr>
        <w:spacing w:before="100" w:beforeAutospacing="1" w:afterLines="50" w:after="120"/>
        <w:jc w:val="right"/>
        <w:rPr>
          <w:rFonts w:ascii="宋体" w:eastAsia="宋体" w:hAnsi="宋体"/>
          <w:sz w:val="21"/>
          <w:szCs w:val="21"/>
        </w:rPr>
      </w:pPr>
      <w:r w:rsidRPr="00F828FB">
        <w:rPr>
          <w:rFonts w:ascii="宋体" w:eastAsia="宋体" w:hAnsi="宋体" w:hint="eastAsia"/>
          <w:sz w:val="21"/>
          <w:szCs w:val="21"/>
        </w:rPr>
        <w:t xml:space="preserve">                        单位：</w:t>
      </w:r>
      <w:r w:rsidRPr="001621B5">
        <w:rPr>
          <w:rFonts w:ascii="宋体" w:eastAsia="宋体" w:hAnsi="宋体" w:hint="eastAsia"/>
          <w:b/>
          <w:sz w:val="21"/>
          <w:szCs w:val="21"/>
        </w:rPr>
        <w:t>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203"/>
        <w:gridCol w:w="2131"/>
      </w:tblGrid>
      <w:tr w:rsidR="00194902" w:rsidRPr="00F828FB" w14:paraId="7E2C690A" w14:textId="77777777" w:rsidTr="0075405B">
        <w:trPr>
          <w:trHeight w:val="561"/>
        </w:trPr>
        <w:tc>
          <w:tcPr>
            <w:tcW w:w="648" w:type="dxa"/>
            <w:vMerge w:val="restart"/>
            <w:vAlign w:val="center"/>
          </w:tcPr>
          <w:p w14:paraId="6109C1F6" w14:textId="77777777" w:rsidR="00194902" w:rsidRPr="00F828FB" w:rsidRDefault="00194902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hint="eastAsia"/>
                <w:sz w:val="26"/>
                <w:szCs w:val="26"/>
              </w:rPr>
              <w:t>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14:paraId="4E62D45B" w14:textId="77777777" w:rsidR="00194902" w:rsidRPr="00F828FB" w:rsidRDefault="00194902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</w:t>
            </w:r>
            <w:r>
              <w:rPr>
                <w:rFonts w:ascii="宋体" w:eastAsia="宋体" w:hAnsi="宋体"/>
                <w:sz w:val="21"/>
                <w:szCs w:val="21"/>
              </w:rPr>
              <w:t>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14:paraId="407986AB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14:paraId="11301F46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194902" w:rsidRPr="00F828FB" w14:paraId="02B20D8F" w14:textId="77777777" w:rsidTr="0075405B">
        <w:tc>
          <w:tcPr>
            <w:tcW w:w="648" w:type="dxa"/>
            <w:vMerge/>
          </w:tcPr>
          <w:p w14:paraId="08C68FB6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4483DBF5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14:paraId="119A319B" w14:textId="77777777"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14:paraId="636DB47D" w14:textId="77777777" w:rsidR="00194902" w:rsidRPr="00F828FB" w:rsidRDefault="00194902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0D92A426" w14:textId="77777777" w:rsidTr="0075405B">
        <w:tc>
          <w:tcPr>
            <w:tcW w:w="648" w:type="dxa"/>
            <w:vMerge/>
          </w:tcPr>
          <w:p w14:paraId="03BEDAE1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4BDF987F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5BEA17CB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 w14:paraId="3E9FA53B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40DB0058" w14:textId="77777777" w:rsidTr="0075405B">
        <w:tc>
          <w:tcPr>
            <w:tcW w:w="648" w:type="dxa"/>
            <w:vMerge/>
          </w:tcPr>
          <w:p w14:paraId="4DB005DE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74DDFB19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02F6EC0A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 w14:paraId="55C9FC25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435B0323" w14:textId="77777777" w:rsidTr="0075405B">
        <w:tc>
          <w:tcPr>
            <w:tcW w:w="648" w:type="dxa"/>
            <w:vMerge/>
          </w:tcPr>
          <w:p w14:paraId="2CA905D7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6B51C2B9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3AA82732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14:paraId="5FF489E5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4C21916C" w14:textId="77777777" w:rsidTr="0075405B">
        <w:tc>
          <w:tcPr>
            <w:tcW w:w="648" w:type="dxa"/>
            <w:vMerge/>
          </w:tcPr>
          <w:p w14:paraId="1594339A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718C6545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32160F77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 w14:paraId="135C0467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12C1BED7" w14:textId="77777777" w:rsidTr="0075405B">
        <w:tc>
          <w:tcPr>
            <w:tcW w:w="648" w:type="dxa"/>
            <w:vMerge/>
          </w:tcPr>
          <w:p w14:paraId="3ED4CA4E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0461E5A9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3AB43746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 w14:paraId="2EB938B8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15F92C51" w14:textId="77777777" w:rsidTr="0075405B">
        <w:tc>
          <w:tcPr>
            <w:tcW w:w="648" w:type="dxa"/>
            <w:vMerge/>
          </w:tcPr>
          <w:p w14:paraId="2DC30956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2E49E9CE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49B5B33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 w14:paraId="3706ABCA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6B11F522" w14:textId="77777777" w:rsidTr="0075405B">
        <w:tc>
          <w:tcPr>
            <w:tcW w:w="648" w:type="dxa"/>
            <w:vMerge/>
          </w:tcPr>
          <w:p w14:paraId="1325E14A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2F40A0C3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5D641A40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14:paraId="644FF90B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146E7328" w14:textId="77777777" w:rsidTr="0075405B">
        <w:tc>
          <w:tcPr>
            <w:tcW w:w="648" w:type="dxa"/>
            <w:vMerge/>
          </w:tcPr>
          <w:p w14:paraId="2AF606E6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3B736E9C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56673455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14:paraId="504F7CAA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558BDC03" w14:textId="77777777" w:rsidTr="0075405B">
        <w:tc>
          <w:tcPr>
            <w:tcW w:w="648" w:type="dxa"/>
            <w:vMerge/>
          </w:tcPr>
          <w:p w14:paraId="6C44807F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1B028678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4AED66A9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 w14:paraId="10883CA9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20411DCE" w14:textId="77777777" w:rsidTr="0075405B">
        <w:trPr>
          <w:trHeight w:val="431"/>
        </w:trPr>
        <w:tc>
          <w:tcPr>
            <w:tcW w:w="648" w:type="dxa"/>
            <w:vMerge/>
          </w:tcPr>
          <w:p w14:paraId="718436E7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14:paraId="783B379F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12D1CAC5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 w14:paraId="155CB2B9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14:paraId="24BB4B91" w14:textId="77777777" w:rsidTr="0075405B">
        <w:trPr>
          <w:trHeight w:val="6387"/>
        </w:trPr>
        <w:tc>
          <w:tcPr>
            <w:tcW w:w="648" w:type="dxa"/>
            <w:vMerge/>
          </w:tcPr>
          <w:p w14:paraId="7D211CF5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7A60DAE3" w14:textId="77777777" w:rsidR="00194902" w:rsidRPr="00F828FB" w:rsidRDefault="00194902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14:paraId="70BA2847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1.……</w:t>
            </w:r>
          </w:p>
          <w:p w14:paraId="30A828B3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2.……</w:t>
            </w:r>
          </w:p>
          <w:p w14:paraId="3E2E2D13" w14:textId="77777777" w:rsidR="00194902" w:rsidRPr="00F828FB" w:rsidRDefault="0019490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3.……</w:t>
            </w:r>
          </w:p>
          <w:p w14:paraId="0C8407C6" w14:textId="77777777"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14:paraId="402AF08D" w14:textId="77777777"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14:paraId="4A5B1ED9" w14:textId="77777777"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83281DD" w14:textId="77777777" w:rsidR="00194902" w:rsidRPr="00F828FB" w:rsidRDefault="00194902" w:rsidP="00194902">
      <w:pPr>
        <w:rPr>
          <w:rFonts w:eastAsia="宋体"/>
          <w:sz w:val="21"/>
        </w:rPr>
        <w:sectPr w:rsidR="00194902" w:rsidRPr="00F828FB">
          <w:pgSz w:w="11920" w:h="16840"/>
          <w:pgMar w:top="1440" w:right="1803" w:bottom="1440" w:left="1803" w:header="0" w:footer="0" w:gutter="0"/>
          <w:cols w:space="720"/>
          <w:docGrid w:linePitch="360"/>
        </w:sectPr>
      </w:pPr>
    </w:p>
    <w:p w14:paraId="34ACC59D" w14:textId="77777777" w:rsidR="00E853FE" w:rsidRDefault="00E853FE">
      <w:bookmarkStart w:id="2" w:name="_GoBack"/>
      <w:bookmarkEnd w:id="2"/>
    </w:p>
    <w:sectPr w:rsidR="00E853FE" w:rsidSect="00223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450S" w:date="2017-10-25T20:43:00Z" w:initials="T">
    <w:p w14:paraId="42D0E3A2" w14:textId="77777777" w:rsidR="008A41AE" w:rsidRDefault="008A41A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手册说明</w:t>
      </w:r>
      <w:r>
        <w:t>填具体实施在</w:t>
      </w:r>
      <w:r>
        <w:rPr>
          <w:rFonts w:hint="eastAsia"/>
        </w:rPr>
        <w:t>哪个</w:t>
      </w:r>
      <w:r>
        <w:t>校区</w:t>
      </w:r>
    </w:p>
  </w:comment>
  <w:comment w:id="1" w:author="T450S" w:date="2017-10-25T20:47:00Z" w:initials="T">
    <w:p w14:paraId="62B98B40" w14:textId="77777777" w:rsidR="008A41AE" w:rsidRDefault="008A41A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随</w:t>
      </w:r>
      <w:r>
        <w:t>表格同步更新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D0E3A2" w15:done="0"/>
  <w15:commentEx w15:paraId="62B98B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7B76D" w14:textId="77777777" w:rsidR="00973381" w:rsidRDefault="00973381" w:rsidP="00FD6628">
      <w:r>
        <w:separator/>
      </w:r>
    </w:p>
  </w:endnote>
  <w:endnote w:type="continuationSeparator" w:id="0">
    <w:p w14:paraId="63D231B6" w14:textId="77777777" w:rsidR="00973381" w:rsidRDefault="00973381" w:rsidP="00FD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3C451" w14:textId="77777777" w:rsidR="00973381" w:rsidRDefault="00973381" w:rsidP="00FD6628">
      <w:r>
        <w:separator/>
      </w:r>
    </w:p>
  </w:footnote>
  <w:footnote w:type="continuationSeparator" w:id="0">
    <w:p w14:paraId="40B90A68" w14:textId="77777777" w:rsidR="00973381" w:rsidRDefault="00973381" w:rsidP="00FD662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450S">
    <w15:presenceInfo w15:providerId="None" w15:userId="T450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902"/>
    <w:rsid w:val="001621B5"/>
    <w:rsid w:val="00171AD5"/>
    <w:rsid w:val="00194902"/>
    <w:rsid w:val="002232BB"/>
    <w:rsid w:val="002B6661"/>
    <w:rsid w:val="004E3BAE"/>
    <w:rsid w:val="00516FD5"/>
    <w:rsid w:val="0069744B"/>
    <w:rsid w:val="007032E2"/>
    <w:rsid w:val="008A41AE"/>
    <w:rsid w:val="008C63E2"/>
    <w:rsid w:val="009152A5"/>
    <w:rsid w:val="00973381"/>
    <w:rsid w:val="00A32767"/>
    <w:rsid w:val="00A87B19"/>
    <w:rsid w:val="00AE2DC9"/>
    <w:rsid w:val="00CE6EC0"/>
    <w:rsid w:val="00D37232"/>
    <w:rsid w:val="00DA6A11"/>
    <w:rsid w:val="00DC1E2A"/>
    <w:rsid w:val="00E4332B"/>
    <w:rsid w:val="00E81A97"/>
    <w:rsid w:val="00E853FE"/>
    <w:rsid w:val="00F61C94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D065F"/>
  <w15:docId w15:val="{19217464-55EF-4B49-B687-456CC0AB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A41A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A41A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A41AE"/>
    <w:rPr>
      <w:rFonts w:ascii="Times New Roman" w:eastAsia="仿宋" w:hAnsi="Times New Roman" w:cs="Times New Roman"/>
      <w:sz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A41A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A41AE"/>
    <w:rPr>
      <w:rFonts w:ascii="Times New Roman" w:eastAsia="仿宋" w:hAnsi="Times New Roman" w:cs="Times New Roman"/>
      <w:b/>
      <w:bCs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8A41A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A41AE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Windows 用户</cp:lastModifiedBy>
  <cp:revision>8</cp:revision>
  <cp:lastPrinted>2018-06-06T06:17:00Z</cp:lastPrinted>
  <dcterms:created xsi:type="dcterms:W3CDTF">2018-10-19T09:19:00Z</dcterms:created>
  <dcterms:modified xsi:type="dcterms:W3CDTF">2018-10-24T03:11:00Z</dcterms:modified>
</cp:coreProperties>
</file>